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4621"/>
        <w:tblW w:w="8500" w:type="dxa"/>
        <w:tblLook w:val="04A0" w:firstRow="1" w:lastRow="0" w:firstColumn="1" w:lastColumn="0" w:noHBand="0" w:noVBand="1"/>
      </w:tblPr>
      <w:tblGrid>
        <w:gridCol w:w="3762"/>
        <w:gridCol w:w="4738"/>
      </w:tblGrid>
      <w:tr w:rsidR="00900209" w14:paraId="24B65C78" w14:textId="77777777" w:rsidTr="00845770">
        <w:tc>
          <w:tcPr>
            <w:tcW w:w="3762" w:type="dxa"/>
          </w:tcPr>
          <w:p w14:paraId="2B7D0227" w14:textId="7EB1E22F" w:rsidR="00900209" w:rsidRPr="009727D9" w:rsidRDefault="00900209" w:rsidP="00845770">
            <w:pPr>
              <w:pStyle w:val="BodyText"/>
              <w:rPr>
                <w:b/>
                <w:bCs/>
              </w:rPr>
            </w:pPr>
            <w:r w:rsidRPr="009727D9">
              <w:rPr>
                <w:b/>
                <w:bCs/>
              </w:rPr>
              <w:t>Name of Institution</w:t>
            </w:r>
          </w:p>
        </w:tc>
        <w:tc>
          <w:tcPr>
            <w:tcW w:w="4738" w:type="dxa"/>
          </w:tcPr>
          <w:p w14:paraId="75C86ACE" w14:textId="36F1397C" w:rsidR="00900209" w:rsidRDefault="00C75338" w:rsidP="00845770">
            <w:pPr>
              <w:pStyle w:val="BodyText"/>
            </w:pPr>
            <w:r>
              <w:t>University of Bradford</w:t>
            </w:r>
          </w:p>
        </w:tc>
      </w:tr>
      <w:tr w:rsidR="00900209" w14:paraId="1028A837" w14:textId="77777777" w:rsidTr="00845770">
        <w:tc>
          <w:tcPr>
            <w:tcW w:w="3762" w:type="dxa"/>
          </w:tcPr>
          <w:p w14:paraId="03063659" w14:textId="789E90AD" w:rsidR="00900209" w:rsidRPr="009727D9" w:rsidRDefault="00900209" w:rsidP="00845770">
            <w:pPr>
              <w:pStyle w:val="BodyText"/>
              <w:rPr>
                <w:b/>
                <w:bCs/>
              </w:rPr>
            </w:pPr>
            <w:r w:rsidRPr="009727D9">
              <w:rPr>
                <w:b/>
                <w:bCs/>
              </w:rPr>
              <w:t>Reporting period</w:t>
            </w:r>
          </w:p>
        </w:tc>
        <w:tc>
          <w:tcPr>
            <w:tcW w:w="4738" w:type="dxa"/>
          </w:tcPr>
          <w:p w14:paraId="205FA423" w14:textId="2DDAB7FC" w:rsidR="00900209" w:rsidRDefault="0012603A" w:rsidP="00845770">
            <w:pPr>
              <w:pStyle w:val="BodyText"/>
            </w:pPr>
            <w:r>
              <w:t>2023</w:t>
            </w:r>
            <w:r w:rsidR="00900209">
              <w:t xml:space="preserve"> </w:t>
            </w:r>
          </w:p>
        </w:tc>
      </w:tr>
      <w:tr w:rsidR="00900209" w14:paraId="4DF85B0C" w14:textId="77777777" w:rsidTr="00845770">
        <w:tc>
          <w:tcPr>
            <w:tcW w:w="3762" w:type="dxa"/>
          </w:tcPr>
          <w:p w14:paraId="02C9F3C4" w14:textId="3C68C073" w:rsidR="00900209" w:rsidRPr="009727D9" w:rsidRDefault="00900209" w:rsidP="00845770">
            <w:pPr>
              <w:pStyle w:val="BodyText"/>
              <w:rPr>
                <w:b/>
                <w:bCs/>
              </w:rPr>
            </w:pPr>
            <w:r w:rsidRPr="009727D9">
              <w:rPr>
                <w:b/>
                <w:bCs/>
              </w:rPr>
              <w:t>Date approved by governing body</w:t>
            </w:r>
          </w:p>
        </w:tc>
        <w:tc>
          <w:tcPr>
            <w:tcW w:w="4738" w:type="dxa"/>
          </w:tcPr>
          <w:p w14:paraId="18995902" w14:textId="21D9163C" w:rsidR="00900209" w:rsidRDefault="003A667F" w:rsidP="00845770">
            <w:pPr>
              <w:pStyle w:val="BodyText"/>
            </w:pPr>
            <w:r>
              <w:t>21 February 2024</w:t>
            </w:r>
          </w:p>
        </w:tc>
      </w:tr>
      <w:tr w:rsidR="00900209" w14:paraId="4824F1DD" w14:textId="77777777" w:rsidTr="00845770">
        <w:tc>
          <w:tcPr>
            <w:tcW w:w="3762" w:type="dxa"/>
          </w:tcPr>
          <w:p w14:paraId="4BC9CA7A" w14:textId="0444E0EA" w:rsidR="00900209" w:rsidRPr="009727D9" w:rsidRDefault="00900209" w:rsidP="00845770">
            <w:pPr>
              <w:pStyle w:val="BodyText"/>
              <w:rPr>
                <w:b/>
                <w:bCs/>
              </w:rPr>
            </w:pPr>
            <w:r w:rsidRPr="009727D9">
              <w:rPr>
                <w:b/>
                <w:bCs/>
              </w:rPr>
              <w:t>Date published online</w:t>
            </w:r>
          </w:p>
        </w:tc>
        <w:tc>
          <w:tcPr>
            <w:tcW w:w="4738" w:type="dxa"/>
          </w:tcPr>
          <w:p w14:paraId="17699279" w14:textId="16EF1827" w:rsidR="00900209" w:rsidRDefault="008B4B19" w:rsidP="00845770">
            <w:pPr>
              <w:pStyle w:val="BodyText"/>
            </w:pPr>
            <w:r>
              <w:t>12 March 2024</w:t>
            </w:r>
          </w:p>
        </w:tc>
      </w:tr>
      <w:tr w:rsidR="00900209" w14:paraId="154662A7" w14:textId="77777777" w:rsidTr="00845770">
        <w:tc>
          <w:tcPr>
            <w:tcW w:w="3762" w:type="dxa"/>
          </w:tcPr>
          <w:p w14:paraId="4C5F972E" w14:textId="3AF91656" w:rsidR="00900209" w:rsidRPr="009727D9" w:rsidRDefault="00900209" w:rsidP="00845770">
            <w:pPr>
              <w:pStyle w:val="BodyText"/>
              <w:rPr>
                <w:b/>
                <w:bCs/>
              </w:rPr>
            </w:pPr>
            <w:r w:rsidRPr="009727D9">
              <w:rPr>
                <w:b/>
                <w:bCs/>
              </w:rPr>
              <w:t>Web address of annual report</w:t>
            </w:r>
          </w:p>
        </w:tc>
        <w:tc>
          <w:tcPr>
            <w:tcW w:w="4738" w:type="dxa"/>
          </w:tcPr>
          <w:p w14:paraId="0A37AF22" w14:textId="4DFF2216" w:rsidR="00900209" w:rsidRDefault="00000000" w:rsidP="00845770">
            <w:pPr>
              <w:pStyle w:val="BodyText"/>
            </w:pPr>
            <w:hyperlink r:id="rId11" w:history="1">
              <w:r w:rsidR="008B4B19">
                <w:rPr>
                  <w:rStyle w:val="Hyperlink"/>
                </w:rPr>
                <w:t>The Researcher Development Concordat - Support for researchers - University of Bradford</w:t>
              </w:r>
            </w:hyperlink>
          </w:p>
        </w:tc>
      </w:tr>
      <w:tr w:rsidR="00900209" w14:paraId="27FEB267" w14:textId="77777777" w:rsidTr="00845770">
        <w:tc>
          <w:tcPr>
            <w:tcW w:w="3762" w:type="dxa"/>
          </w:tcPr>
          <w:p w14:paraId="7E822565" w14:textId="1B49E051" w:rsidR="00900209" w:rsidRPr="009727D9" w:rsidRDefault="00900209" w:rsidP="00845770">
            <w:pPr>
              <w:pStyle w:val="BodyText"/>
              <w:rPr>
                <w:b/>
                <w:bCs/>
              </w:rPr>
            </w:pPr>
            <w:r w:rsidRPr="009727D9">
              <w:rPr>
                <w:b/>
                <w:bCs/>
              </w:rPr>
              <w:t>Web address of institutional Researcher Development Concordat webpage</w:t>
            </w:r>
          </w:p>
        </w:tc>
        <w:tc>
          <w:tcPr>
            <w:tcW w:w="4738" w:type="dxa"/>
          </w:tcPr>
          <w:p w14:paraId="61E1A187" w14:textId="6F6D610C" w:rsidR="00900209" w:rsidRDefault="00000000" w:rsidP="00845770">
            <w:pPr>
              <w:pStyle w:val="BodyText"/>
            </w:pPr>
            <w:hyperlink r:id="rId12" w:history="1">
              <w:r w:rsidR="00FB2B33">
                <w:rPr>
                  <w:rStyle w:val="Hyperlink"/>
                </w:rPr>
                <w:t>The Researcher Development Concordat - Support for researchers - University of Bradford</w:t>
              </w:r>
            </w:hyperlink>
            <w:r w:rsidR="00FB2B33">
              <w:t xml:space="preserve"> </w:t>
            </w:r>
          </w:p>
        </w:tc>
      </w:tr>
      <w:tr w:rsidR="00900209" w14:paraId="6CC49D16" w14:textId="77777777" w:rsidTr="00845770">
        <w:tc>
          <w:tcPr>
            <w:tcW w:w="3762" w:type="dxa"/>
          </w:tcPr>
          <w:p w14:paraId="710EE4A5" w14:textId="2AAC3CD8" w:rsidR="00900209" w:rsidRPr="009727D9" w:rsidRDefault="00900209" w:rsidP="00845770">
            <w:pPr>
              <w:pStyle w:val="BodyText"/>
              <w:rPr>
                <w:b/>
                <w:bCs/>
              </w:rPr>
            </w:pPr>
            <w:r w:rsidRPr="009727D9">
              <w:rPr>
                <w:b/>
                <w:bCs/>
              </w:rPr>
              <w:t>Contact for questions/concerns on researcher career development</w:t>
            </w:r>
          </w:p>
        </w:tc>
        <w:tc>
          <w:tcPr>
            <w:tcW w:w="4738" w:type="dxa"/>
          </w:tcPr>
          <w:p w14:paraId="636675DD" w14:textId="5BF8023F" w:rsidR="00900209" w:rsidRDefault="006428EF" w:rsidP="00845770">
            <w:pPr>
              <w:pStyle w:val="BodyText"/>
            </w:pPr>
            <w:r>
              <w:t xml:space="preserve">Dr Iana Sabatovych, </w:t>
            </w:r>
            <w:r w:rsidR="00860606">
              <w:t xml:space="preserve">Bradford Researcher Development Framework Manager, </w:t>
            </w:r>
            <w:hyperlink r:id="rId13" w:history="1">
              <w:r w:rsidR="00860606" w:rsidRPr="006920EC">
                <w:rPr>
                  <w:rStyle w:val="Hyperlink"/>
                </w:rPr>
                <w:t>i.sabatovych@bradford.ac.uk</w:t>
              </w:r>
            </w:hyperlink>
            <w:r w:rsidR="00860606">
              <w:t xml:space="preserve"> </w:t>
            </w:r>
          </w:p>
        </w:tc>
      </w:tr>
      <w:tr w:rsidR="00900209" w14:paraId="7920BA4B" w14:textId="77777777" w:rsidTr="00845770">
        <w:tc>
          <w:tcPr>
            <w:tcW w:w="3762" w:type="dxa"/>
          </w:tcPr>
          <w:p w14:paraId="4DCB5438" w14:textId="54FA861C" w:rsidR="00900209" w:rsidRPr="009727D9" w:rsidRDefault="00900209" w:rsidP="00845770">
            <w:pPr>
              <w:pStyle w:val="BodyText"/>
              <w:rPr>
                <w:b/>
                <w:bCs/>
              </w:rPr>
            </w:pPr>
            <w:r w:rsidRPr="009727D9">
              <w:rPr>
                <w:b/>
                <w:bCs/>
              </w:rPr>
              <w:t xml:space="preserve">Date statement sent to Researcher Development Concordat secretariat via </w:t>
            </w:r>
            <w:hyperlink r:id="rId14" w:history="1">
              <w:r w:rsidR="009727D9" w:rsidRPr="009727D9">
                <w:rPr>
                  <w:rStyle w:val="Hyperlink"/>
                  <w:b/>
                  <w:bCs/>
                </w:rPr>
                <w:t>CDRsecretariat@universitiesuk.ac.uk</w:t>
              </w:r>
            </w:hyperlink>
            <w:r w:rsidR="009727D9" w:rsidRPr="009727D9">
              <w:rPr>
                <w:b/>
                <w:bCs/>
              </w:rPr>
              <w:t xml:space="preserve"> </w:t>
            </w:r>
          </w:p>
        </w:tc>
        <w:tc>
          <w:tcPr>
            <w:tcW w:w="4738" w:type="dxa"/>
          </w:tcPr>
          <w:p w14:paraId="0C6AD2AC" w14:textId="327E6F59" w:rsidR="00900209" w:rsidRDefault="00B259E8" w:rsidP="00845770">
            <w:pPr>
              <w:pStyle w:val="BodyText"/>
            </w:pPr>
            <w:r>
              <w:t>01 March 2024</w:t>
            </w:r>
          </w:p>
        </w:tc>
      </w:tr>
    </w:tbl>
    <w:p w14:paraId="017CD580" w14:textId="14E2DEDB" w:rsidR="00A0230B" w:rsidRDefault="009727D9" w:rsidP="009727D9">
      <w:pPr>
        <w:pStyle w:val="Heading2"/>
      </w:pPr>
      <w:r>
        <w:t xml:space="preserve">Annual Report for the Concordat to Support the Career Development of Researchers </w:t>
      </w:r>
    </w:p>
    <w:p w14:paraId="565EFBF0" w14:textId="2D0DC766" w:rsidR="00845770" w:rsidRPr="00845770" w:rsidRDefault="00845770" w:rsidP="00845770">
      <w:pPr>
        <w:rPr>
          <w:rFonts w:asciiTheme="majorHAnsi" w:hAnsiTheme="majorHAnsi" w:cstheme="majorHAnsi"/>
          <w:sz w:val="32"/>
          <w:szCs w:val="32"/>
        </w:rPr>
      </w:pPr>
      <w:r>
        <w:rPr>
          <w:rFonts w:asciiTheme="majorHAnsi" w:hAnsiTheme="majorHAnsi" w:cstheme="majorHAnsi"/>
          <w:sz w:val="32"/>
          <w:szCs w:val="32"/>
        </w:rPr>
        <w:t xml:space="preserve">Universities and Research Institutes </w:t>
      </w:r>
    </w:p>
    <w:p w14:paraId="09DB7B26" w14:textId="6DE49D0B" w:rsidR="009727D9" w:rsidRDefault="009727D9" w:rsidP="009727D9"/>
    <w:p w14:paraId="76699665" w14:textId="4D383D01" w:rsidR="009727D9" w:rsidRDefault="009727D9" w:rsidP="009727D9"/>
    <w:p w14:paraId="44FBCA8C" w14:textId="0A96241F" w:rsidR="00E1066D" w:rsidRDefault="00E1066D" w:rsidP="009727D9"/>
    <w:p w14:paraId="3CF462C6" w14:textId="067E1189" w:rsidR="00E1066D" w:rsidRDefault="00E1066D" w:rsidP="009727D9"/>
    <w:p w14:paraId="2D7372D0" w14:textId="41085853" w:rsidR="00E1066D" w:rsidRDefault="00E1066D" w:rsidP="009727D9"/>
    <w:p w14:paraId="26EB0476" w14:textId="77777777" w:rsidR="009C1CE7" w:rsidRDefault="009C1CE7" w:rsidP="009727D9"/>
    <w:tbl>
      <w:tblPr>
        <w:tblStyle w:val="TableGrid"/>
        <w:tblW w:w="0" w:type="auto"/>
        <w:tblLayout w:type="fixed"/>
        <w:tblLook w:val="04A0" w:firstRow="1" w:lastRow="0" w:firstColumn="1" w:lastColumn="0" w:noHBand="0" w:noVBand="1"/>
      </w:tblPr>
      <w:tblGrid>
        <w:gridCol w:w="8268"/>
      </w:tblGrid>
      <w:tr w:rsidR="00EE4921" w14:paraId="5AA6EE44" w14:textId="77777777" w:rsidTr="4536CEF9">
        <w:trPr>
          <w:trHeight w:val="983"/>
        </w:trPr>
        <w:tc>
          <w:tcPr>
            <w:tcW w:w="8268" w:type="dxa"/>
          </w:tcPr>
          <w:p w14:paraId="34B65B37" w14:textId="1201B16F" w:rsidR="00F649B9" w:rsidRPr="00F649B9" w:rsidRDefault="00822944" w:rsidP="00C42999">
            <w:pPr>
              <w:spacing w:before="240"/>
              <w:rPr>
                <w:b/>
                <w:bCs/>
                <w:u w:val="single"/>
              </w:rPr>
            </w:pPr>
            <w:r>
              <w:rPr>
                <w:b/>
                <w:bCs/>
              </w:rPr>
              <w:lastRenderedPageBreak/>
              <w:t>S</w:t>
            </w:r>
            <w:r w:rsidR="00EE4921">
              <w:rPr>
                <w:b/>
                <w:bCs/>
              </w:rPr>
              <w:t xml:space="preserve">tatement on how the organisation creates, maintains and embeds a research culture that </w:t>
            </w:r>
            <w:r w:rsidR="00EE4921" w:rsidRPr="00700683">
              <w:rPr>
                <w:b/>
                <w:bCs/>
              </w:rPr>
              <w:t xml:space="preserve">upholds a positive and inclusive environment for researchers at all stages of their careers </w:t>
            </w:r>
            <w:r w:rsidR="00EE4921" w:rsidRPr="00700683">
              <w:rPr>
                <w:b/>
                <w:bCs/>
                <w:i/>
                <w:iCs/>
              </w:rPr>
              <w:t>(</w:t>
            </w:r>
            <w:r w:rsidR="009C1CE7" w:rsidRPr="00700683">
              <w:rPr>
                <w:b/>
                <w:bCs/>
                <w:i/>
                <w:iCs/>
              </w:rPr>
              <w:t xml:space="preserve">max </w:t>
            </w:r>
            <w:r w:rsidR="00EE4921" w:rsidRPr="00700683">
              <w:rPr>
                <w:b/>
                <w:bCs/>
                <w:i/>
                <w:iCs/>
              </w:rPr>
              <w:t>500 words)</w:t>
            </w:r>
          </w:p>
          <w:p w14:paraId="2D3A96FD" w14:textId="496BA74F" w:rsidR="00967A0E" w:rsidRPr="00984CD2" w:rsidRDefault="00967A0E" w:rsidP="00C42999">
            <w:pPr>
              <w:spacing w:before="240"/>
              <w:rPr>
                <w:b/>
                <w:bCs/>
              </w:rPr>
            </w:pPr>
            <w:r w:rsidRPr="00984CD2">
              <w:rPr>
                <w:b/>
                <w:bCs/>
              </w:rPr>
              <w:t xml:space="preserve">Wordcount: </w:t>
            </w:r>
            <w:r w:rsidR="00221A5D" w:rsidRPr="00984CD2">
              <w:rPr>
                <w:b/>
                <w:bCs/>
              </w:rPr>
              <w:t>5</w:t>
            </w:r>
            <w:r w:rsidR="004E0EA7" w:rsidRPr="00984CD2">
              <w:rPr>
                <w:b/>
                <w:bCs/>
              </w:rPr>
              <w:t>0</w:t>
            </w:r>
            <w:r w:rsidR="00984CD2" w:rsidRPr="00984CD2">
              <w:rPr>
                <w:b/>
                <w:bCs/>
              </w:rPr>
              <w:t>0</w:t>
            </w:r>
          </w:p>
          <w:p w14:paraId="134EDE36" w14:textId="244FEC39" w:rsidR="003E5780" w:rsidRDefault="003E5780" w:rsidP="00C42999">
            <w:pPr>
              <w:spacing w:before="240"/>
            </w:pPr>
            <w:r>
              <w:t>T</w:t>
            </w:r>
            <w:r w:rsidR="0082209B">
              <w:t xml:space="preserve">he </w:t>
            </w:r>
            <w:r w:rsidR="0082209B" w:rsidRPr="00C02E57">
              <w:t>University</w:t>
            </w:r>
            <w:r w:rsidR="0082209B">
              <w:t xml:space="preserve"> bec</w:t>
            </w:r>
            <w:r w:rsidR="0063799F">
              <w:t>a</w:t>
            </w:r>
            <w:r w:rsidR="0082209B">
              <w:t xml:space="preserve">me a </w:t>
            </w:r>
            <w:r w:rsidR="0063799F">
              <w:t>signatory to the Researcher Development Concordat</w:t>
            </w:r>
            <w:r w:rsidR="00214E1F">
              <w:t xml:space="preserve"> in April 2020</w:t>
            </w:r>
            <w:r w:rsidR="0063799F">
              <w:t xml:space="preserve"> </w:t>
            </w:r>
            <w:r>
              <w:t xml:space="preserve">to foster supportive research culture </w:t>
            </w:r>
            <w:r w:rsidR="0063799F">
              <w:t>and</w:t>
            </w:r>
            <w:r w:rsidR="009A61FB">
              <w:t xml:space="preserve"> </w:t>
            </w:r>
            <w:r>
              <w:t>has</w:t>
            </w:r>
            <w:r w:rsidR="00214E1F">
              <w:t xml:space="preserve"> since</w:t>
            </w:r>
            <w:r>
              <w:t xml:space="preserve"> </w:t>
            </w:r>
            <w:r w:rsidR="009A61FB">
              <w:t>produced</w:t>
            </w:r>
            <w:r>
              <w:t xml:space="preserve"> </w:t>
            </w:r>
            <w:r w:rsidR="009A61FB">
              <w:t>the 2021</w:t>
            </w:r>
            <w:r>
              <w:t xml:space="preserve"> </w:t>
            </w:r>
            <w:r w:rsidR="0063799F">
              <w:t>Action Plan</w:t>
            </w:r>
            <w:r>
              <w:t xml:space="preserve"> </w:t>
            </w:r>
            <w:r w:rsidR="009A61FB">
              <w:t>to uphold its commitments</w:t>
            </w:r>
            <w:r w:rsidR="0063799F">
              <w:t>.</w:t>
            </w:r>
            <w:r w:rsidR="00692072">
              <w:t xml:space="preserve"> </w:t>
            </w:r>
            <w:r w:rsidR="005E50F9">
              <w:t>T</w:t>
            </w:r>
            <w:r w:rsidR="00453B98">
              <w:t>he</w:t>
            </w:r>
            <w:r w:rsidR="00F649B9">
              <w:t xml:space="preserve"> </w:t>
            </w:r>
            <w:r w:rsidR="00CF2576">
              <w:t xml:space="preserve">2021-25 </w:t>
            </w:r>
            <w:r w:rsidR="00F649B9">
              <w:t xml:space="preserve">Postgraduate Research Strategy </w:t>
            </w:r>
            <w:r w:rsidR="005E50F9">
              <w:t xml:space="preserve">was adopted </w:t>
            </w:r>
            <w:r w:rsidR="00F649B9">
              <w:t xml:space="preserve">to </w:t>
            </w:r>
            <w:r w:rsidR="00E64B12">
              <w:t xml:space="preserve">support </w:t>
            </w:r>
            <w:r w:rsidR="00F649B9">
              <w:t xml:space="preserve">postgraduate researchers </w:t>
            </w:r>
            <w:r w:rsidR="00BA1A75">
              <w:t>(PGRs)</w:t>
            </w:r>
            <w:r w:rsidR="00F649B9">
              <w:t xml:space="preserve">. </w:t>
            </w:r>
            <w:r w:rsidR="00F239E1">
              <w:t xml:space="preserve">A </w:t>
            </w:r>
            <w:r w:rsidR="005F1E38">
              <w:t>Researcher Development Working Group</w:t>
            </w:r>
            <w:r w:rsidR="005C781C">
              <w:t xml:space="preserve"> </w:t>
            </w:r>
            <w:r w:rsidR="005F1E38">
              <w:t xml:space="preserve">was set-up to coordinate the implementation of the Concordat and the PGR Strategy and </w:t>
            </w:r>
            <w:r w:rsidR="00F14444">
              <w:t xml:space="preserve">to gather </w:t>
            </w:r>
            <w:r w:rsidR="005F1E38">
              <w:t xml:space="preserve">feedback on progress and activities. </w:t>
            </w:r>
            <w:r w:rsidR="00F14444">
              <w:t>After</w:t>
            </w:r>
            <w:r w:rsidR="005F1E38">
              <w:t xml:space="preserve"> a</w:t>
            </w:r>
            <w:r w:rsidR="00F14444">
              <w:t xml:space="preserve"> short</w:t>
            </w:r>
            <w:r w:rsidR="005F1E38">
              <w:t xml:space="preserve"> period of staff </w:t>
            </w:r>
            <w:r w:rsidR="002D42C7">
              <w:t>turnover</w:t>
            </w:r>
            <w:r w:rsidR="005F1E38">
              <w:t xml:space="preserve">, the </w:t>
            </w:r>
            <w:r w:rsidR="001F6ACE">
              <w:t>Group</w:t>
            </w:r>
            <w:r w:rsidR="005C781C">
              <w:t xml:space="preserve"> </w:t>
            </w:r>
            <w:r w:rsidR="005F1E38">
              <w:t>was re-instated in late 2023.</w:t>
            </w:r>
          </w:p>
          <w:p w14:paraId="6A8176D4" w14:textId="1A77D57E" w:rsidR="002D42C7" w:rsidRDefault="002D42C7" w:rsidP="002D42C7">
            <w:pPr>
              <w:spacing w:before="240"/>
            </w:pPr>
            <w:r>
              <w:t xml:space="preserve">In January 2023, the Bradford Researcher Development Framework (BRDF) was launched </w:t>
            </w:r>
            <w:r w:rsidR="004E0EA7">
              <w:t>as</w:t>
            </w:r>
            <w:r>
              <w:t xml:space="preserve"> operational framework for support to researchers. </w:t>
            </w:r>
            <w:r w:rsidR="007B7BA7">
              <w:t>This was marked by</w:t>
            </w:r>
            <w:r w:rsidR="00F239E1">
              <w:t xml:space="preserve"> the</w:t>
            </w:r>
            <w:r w:rsidR="007B7BA7">
              <w:t xml:space="preserve"> </w:t>
            </w:r>
            <w:r w:rsidR="00936DF3">
              <w:t>U</w:t>
            </w:r>
            <w:r w:rsidR="007B7BA7">
              <w:t>niversity’s investment in roles</w:t>
            </w:r>
            <w:r>
              <w:t xml:space="preserve"> to oversee PG</w:t>
            </w:r>
            <w:r w:rsidR="00030509">
              <w:t>Rs</w:t>
            </w:r>
            <w:r>
              <w:t xml:space="preserve"> development and experience</w:t>
            </w:r>
            <w:r w:rsidR="00F239E1">
              <w:t>, as well as a PGR administrator role</w:t>
            </w:r>
            <w:r w:rsidR="087A4761">
              <w:t xml:space="preserve">. </w:t>
            </w:r>
            <w:r>
              <w:t xml:space="preserve">In July 2023, </w:t>
            </w:r>
            <w:r w:rsidR="00F239E1">
              <w:t xml:space="preserve">the </w:t>
            </w:r>
            <w:r>
              <w:t>BRDF manager was appointed, and another Researcher Developer role</w:t>
            </w:r>
            <w:r w:rsidR="009C2D99">
              <w:t xml:space="preserve"> is </w:t>
            </w:r>
            <w:r>
              <w:t>in recruitment.</w:t>
            </w:r>
          </w:p>
          <w:p w14:paraId="1E156D84" w14:textId="4ED6DFB3" w:rsidR="00B25C37" w:rsidRDefault="00B25C37" w:rsidP="00B25C37">
            <w:pPr>
              <w:spacing w:before="240"/>
            </w:pPr>
            <w:r>
              <w:t xml:space="preserve">As a </w:t>
            </w:r>
            <w:hyperlink r:id="rId15">
              <w:r w:rsidRPr="23FB8DF1">
                <w:rPr>
                  <w:rStyle w:val="Hyperlink"/>
                </w:rPr>
                <w:t>values-driven</w:t>
              </w:r>
            </w:hyperlink>
            <w:r>
              <w:t xml:space="preserve"> organisation, the </w:t>
            </w:r>
            <w:r w:rsidR="009C2D99">
              <w:t xml:space="preserve">University </w:t>
            </w:r>
            <w:r>
              <w:t>places its values</w:t>
            </w:r>
            <w:r w:rsidR="005B02D0">
              <w:t xml:space="preserve"> of</w:t>
            </w:r>
            <w:r>
              <w:t xml:space="preserve"> trust, inclusion, innovation, and excellence at the core of its </w:t>
            </w:r>
            <w:r w:rsidR="00FE4206">
              <w:t xml:space="preserve">research </w:t>
            </w:r>
            <w:r>
              <w:t xml:space="preserve">environment. </w:t>
            </w:r>
            <w:r w:rsidR="005B02D0">
              <w:t>R</w:t>
            </w:r>
            <w:r>
              <w:t>esearch staff complete mandatory training on values, unconscious bias, and diversity in the workspace as part of induction</w:t>
            </w:r>
            <w:r w:rsidR="00F239E1">
              <w:t>/</w:t>
            </w:r>
            <w:r>
              <w:t xml:space="preserve">refresher training. </w:t>
            </w:r>
            <w:r w:rsidR="00BD6907">
              <w:t xml:space="preserve">Following the recommendations of the REF2021 panels, </w:t>
            </w:r>
            <w:r w:rsidR="00DC488E">
              <w:t>in</w:t>
            </w:r>
            <w:r>
              <w:t xml:space="preserve"> August 2023 this training has also been open to </w:t>
            </w:r>
            <w:r w:rsidR="00721794">
              <w:t>PGRs</w:t>
            </w:r>
            <w:r>
              <w:t xml:space="preserve">. </w:t>
            </w:r>
          </w:p>
          <w:p w14:paraId="37172297" w14:textId="2F36ACDA" w:rsidR="00B25C37" w:rsidRDefault="00B25C37" w:rsidP="00B25C37">
            <w:pPr>
              <w:spacing w:before="240"/>
            </w:pPr>
            <w:r>
              <w:t>University-level induction is standardised, guidance is provided for organising department</w:t>
            </w:r>
            <w:r w:rsidR="00F239E1">
              <w:t>al</w:t>
            </w:r>
            <w:r>
              <w:t xml:space="preserve">/local inductions. </w:t>
            </w:r>
            <w:r w:rsidRPr="009D5D01">
              <w:t xml:space="preserve">Academic </w:t>
            </w:r>
            <w:r>
              <w:t>i</w:t>
            </w:r>
            <w:r w:rsidRPr="009D5D01">
              <w:t>nduction</w:t>
            </w:r>
            <w:r w:rsidR="00D96549">
              <w:t>s</w:t>
            </w:r>
            <w:r>
              <w:t xml:space="preserve"> ha</w:t>
            </w:r>
            <w:r w:rsidR="00D96549">
              <w:t>ve</w:t>
            </w:r>
            <w:r>
              <w:t xml:space="preserve"> been continuously </w:t>
            </w:r>
            <w:r w:rsidR="002474FC">
              <w:t>delivered. S</w:t>
            </w:r>
            <w:r>
              <w:t xml:space="preserve">ince February 2023, induction for </w:t>
            </w:r>
            <w:r w:rsidR="00111606">
              <w:t>PGRs</w:t>
            </w:r>
            <w:r w:rsidR="0012394C">
              <w:t xml:space="preserve"> has been refreshed to reflect on new progression regulations adopted in 2022</w:t>
            </w:r>
            <w:r>
              <w:t xml:space="preserve">. The </w:t>
            </w:r>
            <w:r w:rsidR="00936DF3">
              <w:t>U</w:t>
            </w:r>
            <w:r>
              <w:t xml:space="preserve">niversity </w:t>
            </w:r>
            <w:r w:rsidR="00D96549">
              <w:t>also encourages a buddy scheme for new members of research staff</w:t>
            </w:r>
            <w:r w:rsidR="008F30AC">
              <w:t xml:space="preserve"> </w:t>
            </w:r>
            <w:r w:rsidR="00D96549">
              <w:t xml:space="preserve">to </w:t>
            </w:r>
            <w:r w:rsidR="00860214">
              <w:t xml:space="preserve">support </w:t>
            </w:r>
            <w:r w:rsidR="00D96549">
              <w:t xml:space="preserve">transition. </w:t>
            </w:r>
          </w:p>
          <w:p w14:paraId="0600E19C" w14:textId="746FE6F6" w:rsidR="00A726C4" w:rsidRDefault="008B224F" w:rsidP="00C42999">
            <w:pPr>
              <w:spacing w:before="240"/>
            </w:pPr>
            <w:r>
              <w:t xml:space="preserve">All research staff are introduced to </w:t>
            </w:r>
            <w:r w:rsidR="008F30AC">
              <w:t>University</w:t>
            </w:r>
            <w:r>
              <w:t xml:space="preserve"> policies and reporting procedures during their induction, </w:t>
            </w:r>
            <w:r w:rsidR="00352C7D">
              <w:t>staff</w:t>
            </w:r>
            <w:r>
              <w:t xml:space="preserve"> are informed of any changes to policies and procedures in a timely manner. </w:t>
            </w:r>
            <w:r w:rsidR="00111606">
              <w:t>A</w:t>
            </w:r>
            <w:r>
              <w:t xml:space="preserve"> number of policies and codes of practice guide research activities</w:t>
            </w:r>
            <w:r w:rsidR="00352C7D">
              <w:t xml:space="preserve"> – </w:t>
            </w:r>
            <w:r w:rsidR="00463A0E">
              <w:t>a</w:t>
            </w:r>
            <w:r>
              <w:t>ll have timelines for review</w:t>
            </w:r>
            <w:r w:rsidR="00A94E13">
              <w:t>,</w:t>
            </w:r>
            <w:r w:rsidR="00352C7D">
              <w:t xml:space="preserve"> including </w:t>
            </w:r>
            <w:r w:rsidR="00A94E13">
              <w:t xml:space="preserve">for compliance with </w:t>
            </w:r>
            <w:r w:rsidR="00C84FFD">
              <w:t xml:space="preserve">the </w:t>
            </w:r>
            <w:r w:rsidR="00A94E13">
              <w:t>sector</w:t>
            </w:r>
            <w:r>
              <w:t xml:space="preserve">. With the appointment of the Head of Research Operations in September 2023, it is anticipated that </w:t>
            </w:r>
            <w:r w:rsidR="00352C7D">
              <w:t xml:space="preserve">policies </w:t>
            </w:r>
            <w:r>
              <w:t xml:space="preserve">review will be </w:t>
            </w:r>
            <w:r w:rsidR="00463A0E">
              <w:t>fostered</w:t>
            </w:r>
            <w:r>
              <w:t xml:space="preserve">. </w:t>
            </w:r>
          </w:p>
          <w:p w14:paraId="290B4850" w14:textId="312B3308" w:rsidR="0059015C" w:rsidRDefault="00BC6A1F" w:rsidP="00EE4921">
            <w:pPr>
              <w:spacing w:before="240"/>
            </w:pPr>
            <w:r>
              <w:t xml:space="preserve">BRDF </w:t>
            </w:r>
            <w:r w:rsidR="005559CA">
              <w:t>coordinate</w:t>
            </w:r>
            <w:r w:rsidR="00105710">
              <w:t>s</w:t>
            </w:r>
            <w:r w:rsidR="005559CA">
              <w:t xml:space="preserve"> </w:t>
            </w:r>
            <w:r w:rsidR="00FC054B">
              <w:t>provision across faculties and departments</w:t>
            </w:r>
            <w:r w:rsidR="00D7403D">
              <w:t xml:space="preserve"> such as </w:t>
            </w:r>
            <w:r w:rsidR="00B209D3">
              <w:t>Research and Innovation Services, Library, Careers, and more</w:t>
            </w:r>
            <w:r w:rsidR="00FC054B">
              <w:t xml:space="preserve">. </w:t>
            </w:r>
            <w:r w:rsidR="009D3136">
              <w:t xml:space="preserve">Areas of existing support and gaps </w:t>
            </w:r>
            <w:r w:rsidR="009D3136">
              <w:lastRenderedPageBreak/>
              <w:t xml:space="preserve">in provision are identified via consultations with faculties and departments. </w:t>
            </w:r>
            <w:r w:rsidR="00C72C91">
              <w:t xml:space="preserve">The essential training offer </w:t>
            </w:r>
            <w:r w:rsidR="003460FC">
              <w:t>for</w:t>
            </w:r>
            <w:r w:rsidR="00C72C91">
              <w:t xml:space="preserve"> researchers is </w:t>
            </w:r>
            <w:r w:rsidR="00160785">
              <w:t xml:space="preserve">currently being </w:t>
            </w:r>
            <w:r w:rsidR="00DC29B4">
              <w:t>developed</w:t>
            </w:r>
            <w:r w:rsidR="003460FC">
              <w:t xml:space="preserve"> to form the core of mandatory training</w:t>
            </w:r>
            <w:r w:rsidR="00DC29B4">
              <w:t xml:space="preserve"> – to be mapped to Vitae’s Researcher Development Framework (RDF) and Bradford Academic</w:t>
            </w:r>
            <w:r w:rsidR="00160785">
              <w:t>.</w:t>
            </w:r>
            <w:r w:rsidR="003460FC">
              <w:t xml:space="preserve"> Training and professional development </w:t>
            </w:r>
            <w:r w:rsidR="00D262A7">
              <w:t xml:space="preserve">is included in probation and </w:t>
            </w:r>
            <w:r w:rsidR="000D3766">
              <w:t>performance</w:t>
            </w:r>
            <w:r w:rsidR="00D262A7">
              <w:t xml:space="preserve"> development review</w:t>
            </w:r>
            <w:r w:rsidR="00565F8D">
              <w:t>s</w:t>
            </w:r>
            <w:r w:rsidR="00700E40">
              <w:t xml:space="preserve"> (PDRs)</w:t>
            </w:r>
            <w:r w:rsidR="00565F8D">
              <w:t xml:space="preserve"> for </w:t>
            </w:r>
            <w:r w:rsidR="00911EB5">
              <w:t xml:space="preserve">all research staff </w:t>
            </w:r>
            <w:r w:rsidR="00565F8D">
              <w:t>and managers</w:t>
            </w:r>
            <w:r w:rsidR="00D262A7">
              <w:t>.</w:t>
            </w:r>
            <w:r w:rsidR="00565F8D">
              <w:t xml:space="preserve"> </w:t>
            </w:r>
            <w:r w:rsidR="00AC7326">
              <w:t>In 2023, t</w:t>
            </w:r>
            <w:r w:rsidR="00C72C91">
              <w:t xml:space="preserve">he essential training offer for PGRs has been </w:t>
            </w:r>
            <w:r w:rsidR="00D96549">
              <w:t>developed</w:t>
            </w:r>
            <w:r w:rsidR="00C72C91">
              <w:t xml:space="preserve"> and mapped to Vitae’s RDF. </w:t>
            </w:r>
            <w:r w:rsidR="005809CB">
              <w:t xml:space="preserve">PGRs </w:t>
            </w:r>
            <w:r w:rsidR="003C3EED">
              <w:t xml:space="preserve">are also required to complete a </w:t>
            </w:r>
            <w:r w:rsidR="00C72C91">
              <w:t>Development Needs Analysis</w:t>
            </w:r>
            <w:r w:rsidR="003C3EED">
              <w:t xml:space="preserve"> </w:t>
            </w:r>
            <w:r w:rsidR="00700E40">
              <w:t xml:space="preserve">(DNA) </w:t>
            </w:r>
            <w:r w:rsidR="003C3EED">
              <w:t>as part of their progression requirements.</w:t>
            </w:r>
            <w:r w:rsidR="00C72C91">
              <w:t xml:space="preserve"> </w:t>
            </w:r>
          </w:p>
          <w:p w14:paraId="3802B357" w14:textId="19A8ABC8" w:rsidR="0011223F" w:rsidRPr="0059015C" w:rsidRDefault="003C3EED" w:rsidP="00EE4921">
            <w:pPr>
              <w:spacing w:before="240"/>
            </w:pPr>
            <w:r>
              <w:t xml:space="preserve">A </w:t>
            </w:r>
            <w:r w:rsidR="00737377">
              <w:t>programme of research culture-enriching events and activities</w:t>
            </w:r>
            <w:r>
              <w:t xml:space="preserve"> to enhance research skills and encourage community-building has been developed for PGRs. </w:t>
            </w:r>
            <w:r w:rsidR="0011223F">
              <w:t>PGR</w:t>
            </w:r>
            <w:r>
              <w:t xml:space="preserve"> Representative </w:t>
            </w:r>
            <w:r w:rsidR="0011223F">
              <w:t>elections</w:t>
            </w:r>
            <w:r>
              <w:t xml:space="preserve"> </w:t>
            </w:r>
            <w:r w:rsidR="0011223F">
              <w:t xml:space="preserve">took place </w:t>
            </w:r>
            <w:r w:rsidR="00F03817">
              <w:t>in summer 2023</w:t>
            </w:r>
            <w:r>
              <w:t>. PGRs are encouraged to set up their own events and activities</w:t>
            </w:r>
            <w:r w:rsidR="00FB1839">
              <w:t xml:space="preserve"> </w:t>
            </w:r>
            <w:r w:rsidR="00B96F7D">
              <w:t>–</w:t>
            </w:r>
            <w:r w:rsidR="00FB1839">
              <w:t xml:space="preserve"> these are</w:t>
            </w:r>
            <w:r w:rsidR="00B96F7D">
              <w:t xml:space="preserve"> supported </w:t>
            </w:r>
            <w:r w:rsidR="006B022A">
              <w:t>via the Students</w:t>
            </w:r>
            <w:r w:rsidR="006A5982">
              <w:t>’</w:t>
            </w:r>
            <w:r w:rsidR="006B022A">
              <w:t xml:space="preserve"> Union and </w:t>
            </w:r>
            <w:r w:rsidR="006A5982">
              <w:t xml:space="preserve">PGR </w:t>
            </w:r>
            <w:r w:rsidR="006B022A">
              <w:t>Lounge Committee.</w:t>
            </w:r>
            <w:r>
              <w:t xml:space="preserve"> </w:t>
            </w:r>
            <w:r w:rsidR="0011223F">
              <w:t xml:space="preserve">Similar work is being planned for building communities of good practice for early-career researchers (ECRs) and supervisors. </w:t>
            </w:r>
          </w:p>
        </w:tc>
      </w:tr>
      <w:tr w:rsidR="00E1066D" w14:paraId="4ABD846B" w14:textId="77777777" w:rsidTr="4536CEF9">
        <w:trPr>
          <w:trHeight w:val="983"/>
        </w:trPr>
        <w:tc>
          <w:tcPr>
            <w:tcW w:w="8268" w:type="dxa"/>
          </w:tcPr>
          <w:p w14:paraId="5CC9F4B4" w14:textId="36E50266" w:rsidR="00E1066D" w:rsidRPr="00EE4921" w:rsidRDefault="00EE4921" w:rsidP="00EE4921">
            <w:pPr>
              <w:spacing w:before="240"/>
              <w:rPr>
                <w:b/>
                <w:bCs/>
                <w:i/>
                <w:iCs/>
              </w:rPr>
            </w:pPr>
            <w:r>
              <w:rPr>
                <w:b/>
                <w:bCs/>
              </w:rPr>
              <w:lastRenderedPageBreak/>
              <w:t>Provide a short s</w:t>
            </w:r>
            <w:r w:rsidR="00E1066D" w:rsidRPr="007431E8">
              <w:rPr>
                <w:b/>
                <w:bCs/>
              </w:rPr>
              <w:t xml:space="preserve">ummary of </w:t>
            </w:r>
            <w:r w:rsidR="00B91196">
              <w:rPr>
                <w:b/>
                <w:bCs/>
              </w:rPr>
              <w:t xml:space="preserve">the </w:t>
            </w:r>
            <w:r>
              <w:rPr>
                <w:b/>
                <w:bCs/>
              </w:rPr>
              <w:t>i</w:t>
            </w:r>
            <w:r w:rsidR="006762F6">
              <w:rPr>
                <w:b/>
                <w:bCs/>
              </w:rPr>
              <w:t xml:space="preserve">nstitution’s </w:t>
            </w:r>
            <w:r w:rsidR="00E1066D" w:rsidRPr="007431E8">
              <w:rPr>
                <w:b/>
                <w:bCs/>
              </w:rPr>
              <w:t>strategic objectives</w:t>
            </w:r>
            <w:r w:rsidR="0081393C">
              <w:rPr>
                <w:b/>
                <w:bCs/>
              </w:rPr>
              <w:t xml:space="preserve"> </w:t>
            </w:r>
            <w:r w:rsidR="00046CAA">
              <w:rPr>
                <w:b/>
                <w:bCs/>
              </w:rPr>
              <w:t xml:space="preserve">and implementation plans </w:t>
            </w:r>
            <w:r w:rsidR="0025289F">
              <w:rPr>
                <w:b/>
                <w:bCs/>
              </w:rPr>
              <w:t>for delivering each of the three pillars of the Concordat (</w:t>
            </w:r>
            <w:r w:rsidR="0025289F" w:rsidRPr="007431E8">
              <w:rPr>
                <w:b/>
                <w:bCs/>
              </w:rPr>
              <w:t>environment</w:t>
            </w:r>
            <w:r w:rsidR="0025289F">
              <w:rPr>
                <w:b/>
                <w:bCs/>
              </w:rPr>
              <w:t xml:space="preserve"> and culture</w:t>
            </w:r>
            <w:r w:rsidR="0025289F" w:rsidRPr="007431E8">
              <w:rPr>
                <w:b/>
                <w:bCs/>
              </w:rPr>
              <w:t>, employment</w:t>
            </w:r>
            <w:r w:rsidR="0025289F">
              <w:rPr>
                <w:b/>
                <w:bCs/>
              </w:rPr>
              <w:t>,</w:t>
            </w:r>
            <w:r w:rsidR="0025289F" w:rsidRPr="007431E8">
              <w:rPr>
                <w:b/>
                <w:bCs/>
              </w:rPr>
              <w:t xml:space="preserve"> and </w:t>
            </w:r>
            <w:r w:rsidR="0025289F">
              <w:rPr>
                <w:b/>
                <w:bCs/>
              </w:rPr>
              <w:t>professional</w:t>
            </w:r>
            <w:r w:rsidR="0025289F" w:rsidRPr="007431E8">
              <w:rPr>
                <w:b/>
                <w:bCs/>
              </w:rPr>
              <w:t xml:space="preserve"> development of researchers</w:t>
            </w:r>
            <w:r w:rsidR="0025289F">
              <w:rPr>
                <w:b/>
                <w:bCs/>
              </w:rPr>
              <w:t>)</w:t>
            </w:r>
            <w:r w:rsidR="00046CAA">
              <w:rPr>
                <w:b/>
                <w:bCs/>
              </w:rPr>
              <w:t xml:space="preserve"> </w:t>
            </w:r>
            <w:r w:rsidR="009C1F36">
              <w:rPr>
                <w:b/>
                <w:bCs/>
              </w:rPr>
              <w:t xml:space="preserve">for your key stakeholder groups </w:t>
            </w:r>
            <w:r w:rsidR="00046CAA">
              <w:rPr>
                <w:b/>
                <w:bCs/>
              </w:rPr>
              <w:t xml:space="preserve">together </w:t>
            </w:r>
            <w:r w:rsidR="0039135A">
              <w:rPr>
                <w:b/>
                <w:bCs/>
              </w:rPr>
              <w:t>with</w:t>
            </w:r>
            <w:r w:rsidR="006762F6">
              <w:rPr>
                <w:b/>
                <w:bCs/>
              </w:rPr>
              <w:t xml:space="preserve"> your </w:t>
            </w:r>
            <w:r w:rsidR="00366E3D">
              <w:rPr>
                <w:b/>
                <w:bCs/>
              </w:rPr>
              <w:t xml:space="preserve">measures for </w:t>
            </w:r>
            <w:r w:rsidR="006762F6">
              <w:rPr>
                <w:b/>
                <w:bCs/>
              </w:rPr>
              <w:t xml:space="preserve">evaluating </w:t>
            </w:r>
            <w:r w:rsidR="00366E3D">
              <w:rPr>
                <w:b/>
                <w:bCs/>
              </w:rPr>
              <w:t>progress</w:t>
            </w:r>
            <w:r w:rsidR="006762F6">
              <w:rPr>
                <w:b/>
                <w:bCs/>
              </w:rPr>
              <w:t xml:space="preserve"> </w:t>
            </w:r>
            <w:r w:rsidR="006762F6" w:rsidRPr="00EE4921">
              <w:rPr>
                <w:b/>
                <w:bCs/>
              </w:rPr>
              <w:t>and success</w:t>
            </w:r>
            <w:r>
              <w:rPr>
                <w:b/>
                <w:bCs/>
              </w:rPr>
              <w:t xml:space="preserve"> </w:t>
            </w:r>
            <w:r>
              <w:rPr>
                <w:b/>
                <w:bCs/>
                <w:i/>
                <w:iCs/>
              </w:rPr>
              <w:t>(</w:t>
            </w:r>
            <w:r w:rsidR="009C1CE7">
              <w:rPr>
                <w:b/>
                <w:bCs/>
                <w:i/>
                <w:iCs/>
              </w:rPr>
              <w:t xml:space="preserve">max </w:t>
            </w:r>
            <w:r>
              <w:rPr>
                <w:b/>
                <w:bCs/>
                <w:i/>
                <w:iCs/>
              </w:rPr>
              <w:t>600 words)</w:t>
            </w:r>
          </w:p>
        </w:tc>
      </w:tr>
      <w:tr w:rsidR="00936C2A" w14:paraId="29EEF7A1" w14:textId="77777777" w:rsidTr="4536CEF9">
        <w:trPr>
          <w:trHeight w:val="1691"/>
        </w:trPr>
        <w:tc>
          <w:tcPr>
            <w:tcW w:w="8268" w:type="dxa"/>
          </w:tcPr>
          <w:p w14:paraId="16D32671" w14:textId="04099632" w:rsidR="00FA3030" w:rsidRPr="00C45CAA" w:rsidRDefault="00FA3030" w:rsidP="00E1066D">
            <w:pPr>
              <w:rPr>
                <w:b/>
                <w:bCs/>
              </w:rPr>
            </w:pPr>
            <w:r w:rsidRPr="00C45CAA">
              <w:rPr>
                <w:b/>
                <w:bCs/>
              </w:rPr>
              <w:t xml:space="preserve">Wordcount: </w:t>
            </w:r>
            <w:r w:rsidR="00C45CAA">
              <w:rPr>
                <w:b/>
                <w:bCs/>
              </w:rPr>
              <w:t>600</w:t>
            </w:r>
          </w:p>
          <w:p w14:paraId="6D53BB09" w14:textId="60D642F2" w:rsidR="00936C2A" w:rsidRPr="00B20575" w:rsidRDefault="008C5806" w:rsidP="00E1066D">
            <w:pPr>
              <w:rPr>
                <w:b/>
                <w:bCs/>
              </w:rPr>
            </w:pPr>
            <w:r w:rsidRPr="00B20575">
              <w:rPr>
                <w:b/>
                <w:bCs/>
              </w:rPr>
              <w:t>Environment and culture</w:t>
            </w:r>
          </w:p>
          <w:p w14:paraId="2EDDE274" w14:textId="75688804" w:rsidR="001865C7" w:rsidRDefault="00930092" w:rsidP="006704C8">
            <w:pPr>
              <w:spacing w:before="240"/>
            </w:pPr>
            <w:r>
              <w:t xml:space="preserve">As reflected in the </w:t>
            </w:r>
            <w:r w:rsidRPr="00194017">
              <w:t>Strategic Plan 2020-25</w:t>
            </w:r>
            <w:r>
              <w:t xml:space="preserve">, the </w:t>
            </w:r>
            <w:r w:rsidR="009F63A7">
              <w:t>University’s vision</w:t>
            </w:r>
            <w:r w:rsidR="0081323D">
              <w:t xml:space="preserve"> is to become a place </w:t>
            </w:r>
            <w:r>
              <w:t xml:space="preserve">where “people want to, and can, make a difference”. </w:t>
            </w:r>
            <w:r w:rsidR="00B95C0D">
              <w:t>F</w:t>
            </w:r>
            <w:r w:rsidR="009F63A7">
              <w:t>our sub-strategies</w:t>
            </w:r>
            <w:r w:rsidR="00B95C0D">
              <w:t xml:space="preserve"> –</w:t>
            </w:r>
            <w:r w:rsidR="009F63A7">
              <w:t xml:space="preserve"> </w:t>
            </w:r>
            <w:hyperlink r:id="rId16" w:tgtFrame="_blank" w:tooltip="https://unibradfordac.sharepoint.com/:b:/r/sites/planning-intranet/Shared%20Documents/Strategy%20documents/COU089a-19-20-LTSE-app-a.pdf?csf=1&amp;web=1&amp;e=YrYiLl" w:history="1">
              <w:r w:rsidR="009F63A7" w:rsidRPr="009D171F">
                <w:rPr>
                  <w:rStyle w:val="Hyperlink"/>
                </w:rPr>
                <w:t>Learning, Teaching and Student Experience</w:t>
              </w:r>
            </w:hyperlink>
            <w:r w:rsidR="009F63A7">
              <w:t xml:space="preserve">, </w:t>
            </w:r>
            <w:hyperlink r:id="rId17" w:tgtFrame="_blank" w:tooltip="https://unibradfordac.sharepoint.com/:b:/r/sites/planning-intranet/Shared%20Documents/Strategy%20documents/SEN054-1920-RI%20Strategy_v1.pdf?csf=1&amp;web=1&amp;e=J6724H" w:history="1">
              <w:r w:rsidR="009F63A7" w:rsidRPr="009D171F">
                <w:rPr>
                  <w:rStyle w:val="Hyperlink"/>
                </w:rPr>
                <w:t>Research and Innovation</w:t>
              </w:r>
            </w:hyperlink>
            <w:r w:rsidR="009F63A7">
              <w:t xml:space="preserve">, </w:t>
            </w:r>
            <w:hyperlink r:id="rId18" w:tgtFrame="_blank" w:tooltip="https://unibradfordac.sharepoint.com/:b:/r/sites/planning-intranet/Shared%20Documents/Strategy%20documents/EDI%20Strategy%202020-2025%20Rev.pdf?csf=1&amp;web=1&amp;e=mxYORl" w:history="1">
              <w:r w:rsidR="009F63A7" w:rsidRPr="009D171F">
                <w:rPr>
                  <w:rStyle w:val="Hyperlink"/>
                </w:rPr>
                <w:t>Equality, Diversity and Inclusion</w:t>
              </w:r>
            </w:hyperlink>
            <w:r w:rsidR="009F63A7">
              <w:rPr>
                <w:rStyle w:val="Hyperlink"/>
              </w:rPr>
              <w:t xml:space="preserve"> (EDI)</w:t>
            </w:r>
            <w:r w:rsidR="009F63A7">
              <w:t xml:space="preserve">, and </w:t>
            </w:r>
            <w:hyperlink r:id="rId19" w:tgtFrame="_blank" w:tooltip="https://unibradfordac.sharepoint.com/:b:/r/sites/planning-intranet/Shared%20Documents/Strategy%20documents/COU091a-19-20-BCE-Strategy-App-A.pdf?csf=1&amp;web=1&amp;e=dkurAy" w:history="1">
              <w:r w:rsidR="009F63A7" w:rsidRPr="009D171F">
                <w:rPr>
                  <w:rStyle w:val="Hyperlink"/>
                </w:rPr>
                <w:t>Business and Community Engagement</w:t>
              </w:r>
            </w:hyperlink>
            <w:r w:rsidR="00E4269B">
              <w:t xml:space="preserve"> –</w:t>
            </w:r>
            <w:r w:rsidR="00B95C0D">
              <w:t xml:space="preserve"> were </w:t>
            </w:r>
            <w:r w:rsidR="001179C4">
              <w:t xml:space="preserve">adopted with clear operational plans </w:t>
            </w:r>
            <w:r w:rsidR="00871321">
              <w:t xml:space="preserve">to </w:t>
            </w:r>
            <w:r w:rsidR="00292D83">
              <w:t>achieve this vision</w:t>
            </w:r>
            <w:r w:rsidR="00871321">
              <w:t xml:space="preserve"> </w:t>
            </w:r>
            <w:r w:rsidR="001179C4">
              <w:t xml:space="preserve">by 2025. </w:t>
            </w:r>
            <w:r w:rsidR="00AA4D71">
              <w:t>The</w:t>
            </w:r>
            <w:r w:rsidR="002928BB">
              <w:t xml:space="preserve"> Research and </w:t>
            </w:r>
            <w:r w:rsidR="00A655C4">
              <w:t>I</w:t>
            </w:r>
            <w:r w:rsidR="002928BB">
              <w:t xml:space="preserve">nnovation Strategy </w:t>
            </w:r>
            <w:r w:rsidR="00FD16DC">
              <w:t xml:space="preserve">explicitly states </w:t>
            </w:r>
            <w:r w:rsidR="00E3763C">
              <w:t xml:space="preserve">the </w:t>
            </w:r>
            <w:r w:rsidR="00FD16DC">
              <w:t xml:space="preserve">University’s commitment </w:t>
            </w:r>
            <w:r w:rsidR="00B31606">
              <w:t>to</w:t>
            </w:r>
            <w:r w:rsidR="00FC4861">
              <w:t xml:space="preserve"> </w:t>
            </w:r>
            <w:r w:rsidR="00FD16DC">
              <w:t>“foster a strong, healthy and inclusive research culture across all levels and within all faculties</w:t>
            </w:r>
            <w:r w:rsidR="003931AA">
              <w:t xml:space="preserve">” to empower staff </w:t>
            </w:r>
            <w:r w:rsidR="00FD16DC">
              <w:t xml:space="preserve">and students to reach their full </w:t>
            </w:r>
            <w:r w:rsidR="00E7681C">
              <w:t xml:space="preserve">research </w:t>
            </w:r>
            <w:r w:rsidR="00FD16DC">
              <w:t>potential</w:t>
            </w:r>
            <w:r w:rsidR="00FC4861">
              <w:t xml:space="preserve">. </w:t>
            </w:r>
            <w:r w:rsidR="00635C2E">
              <w:t xml:space="preserve">The Research and Innovation Strategy links to </w:t>
            </w:r>
            <w:r w:rsidR="00DC37B4" w:rsidRPr="00DC37B4">
              <w:t>Bradford’s Research and Knowledge Transfer Environment</w:t>
            </w:r>
            <w:r w:rsidR="00CB5312">
              <w:t xml:space="preserve"> paper</w:t>
            </w:r>
            <w:r w:rsidR="00635C2E">
              <w:t xml:space="preserve">, which </w:t>
            </w:r>
            <w:r w:rsidR="00D0112F">
              <w:t xml:space="preserve">sets out </w:t>
            </w:r>
            <w:r w:rsidR="00771392">
              <w:t>an</w:t>
            </w:r>
            <w:r w:rsidR="00655C57">
              <w:t xml:space="preserve"> Action Plan</w:t>
            </w:r>
            <w:r w:rsidR="00771392">
              <w:t xml:space="preserve"> to </w:t>
            </w:r>
            <w:r w:rsidR="007F19D4">
              <w:t xml:space="preserve">build </w:t>
            </w:r>
            <w:r w:rsidR="00D0112F">
              <w:t xml:space="preserve">a world-class research environment </w:t>
            </w:r>
            <w:r w:rsidR="007F19D4">
              <w:t>at Bradford</w:t>
            </w:r>
            <w:r w:rsidR="00771392">
              <w:t xml:space="preserve">. </w:t>
            </w:r>
          </w:p>
          <w:p w14:paraId="46B6B501" w14:textId="19A3833B" w:rsidR="00C66982" w:rsidRDefault="006704C8" w:rsidP="006704C8">
            <w:pPr>
              <w:spacing w:before="240"/>
            </w:pPr>
            <w:r>
              <w:t xml:space="preserve">The indicators of success </w:t>
            </w:r>
            <w:r w:rsidR="007F19D4">
              <w:t xml:space="preserve">include </w:t>
            </w:r>
            <w:r w:rsidR="00E66A31">
              <w:t xml:space="preserve">improved </w:t>
            </w:r>
            <w:r w:rsidR="0088286A">
              <w:t>quality of research outputs</w:t>
            </w:r>
            <w:r w:rsidR="00910F2F">
              <w:t xml:space="preserve"> and</w:t>
            </w:r>
            <w:r w:rsidR="00422FED">
              <w:t xml:space="preserve"> research impact</w:t>
            </w:r>
            <w:r w:rsidR="00910F2F">
              <w:t xml:space="preserve"> (</w:t>
            </w:r>
            <w:r w:rsidR="00BF329D">
              <w:t xml:space="preserve">measured via </w:t>
            </w:r>
            <w:r w:rsidR="00910F2F">
              <w:t>REF)</w:t>
            </w:r>
            <w:r w:rsidR="00422FED">
              <w:t>,</w:t>
            </w:r>
            <w:r w:rsidR="0088286A">
              <w:t xml:space="preserve"> </w:t>
            </w:r>
            <w:r w:rsidR="00E66A31">
              <w:t xml:space="preserve">increased </w:t>
            </w:r>
            <w:r w:rsidR="0088286A">
              <w:t xml:space="preserve">engagement with research and </w:t>
            </w:r>
            <w:r w:rsidR="0088286A">
              <w:lastRenderedPageBreak/>
              <w:t>grant funding</w:t>
            </w:r>
            <w:r w:rsidR="00910F2F">
              <w:t xml:space="preserve"> (record</w:t>
            </w:r>
            <w:r w:rsidR="00E3763C">
              <w:t>ed</w:t>
            </w:r>
            <w:r w:rsidR="00910F2F">
              <w:t xml:space="preserve"> in the Research Information System</w:t>
            </w:r>
            <w:r w:rsidR="00D0112F">
              <w:t xml:space="preserve"> – </w:t>
            </w:r>
            <w:r w:rsidR="00984C4F">
              <w:t>RIS</w:t>
            </w:r>
            <w:r w:rsidR="00910F2F">
              <w:t>)</w:t>
            </w:r>
            <w:r w:rsidR="0088286A">
              <w:t xml:space="preserve">, </w:t>
            </w:r>
            <w:r w:rsidR="00E66A31">
              <w:t xml:space="preserve">as well as </w:t>
            </w:r>
            <w:r w:rsidR="0088286A">
              <w:t>PGR</w:t>
            </w:r>
            <w:r w:rsidR="00910F2F">
              <w:t xml:space="preserve"> </w:t>
            </w:r>
            <w:r w:rsidR="00D6700E">
              <w:t>engagement</w:t>
            </w:r>
            <w:r w:rsidR="00910F2F">
              <w:t>,</w:t>
            </w:r>
            <w:r w:rsidR="00422FED">
              <w:t xml:space="preserve"> </w:t>
            </w:r>
            <w:r w:rsidR="00D6700E">
              <w:t>progression</w:t>
            </w:r>
            <w:r w:rsidR="00910F2F">
              <w:t xml:space="preserve"> and experience (</w:t>
            </w:r>
            <w:r w:rsidR="006E79D4">
              <w:t>PRES and PGR/staff feedback, progression</w:t>
            </w:r>
            <w:r w:rsidR="006419BA">
              <w:t xml:space="preserve"> records</w:t>
            </w:r>
            <w:r w:rsidR="00910F2F">
              <w:t>)</w:t>
            </w:r>
            <w:r w:rsidR="00F100E5">
              <w:t xml:space="preserve">. Feedback from researchers and </w:t>
            </w:r>
            <w:r w:rsidR="00F5273C">
              <w:t xml:space="preserve">their </w:t>
            </w:r>
            <w:r w:rsidR="00F100E5">
              <w:t xml:space="preserve">managers is </w:t>
            </w:r>
            <w:r w:rsidR="00927EAB">
              <w:t xml:space="preserve">monitored via </w:t>
            </w:r>
            <w:r w:rsidR="009F0B58" w:rsidRPr="009F0B58">
              <w:t>Culture, Employment and Development in Academic Research Survey</w:t>
            </w:r>
            <w:r w:rsidR="009F0B58">
              <w:t xml:space="preserve"> </w:t>
            </w:r>
            <w:r w:rsidR="00691F9F">
              <w:t>(CEDARS), staff survey</w:t>
            </w:r>
            <w:r w:rsidR="00F5273C">
              <w:t>s</w:t>
            </w:r>
            <w:r w:rsidR="00691F9F">
              <w:t xml:space="preserve">, </w:t>
            </w:r>
            <w:r w:rsidR="009F0B58">
              <w:t xml:space="preserve">as well as </w:t>
            </w:r>
            <w:r w:rsidR="00B579EC">
              <w:t>staff meetings</w:t>
            </w:r>
            <w:r w:rsidR="00872647">
              <w:t xml:space="preserve">. </w:t>
            </w:r>
            <w:r w:rsidR="00575C2E">
              <w:t xml:space="preserve">BRDF </w:t>
            </w:r>
            <w:r w:rsidR="004E0FD8">
              <w:t>provides</w:t>
            </w:r>
            <w:r w:rsidR="004B3BC6">
              <w:t xml:space="preserve"> </w:t>
            </w:r>
            <w:r w:rsidR="004E0FD8">
              <w:t>operational support to</w:t>
            </w:r>
            <w:r w:rsidR="0008745E">
              <w:t xml:space="preserve"> the Strategy</w:t>
            </w:r>
            <w:r w:rsidR="00D30BFC">
              <w:t xml:space="preserve">, </w:t>
            </w:r>
            <w:r w:rsidR="00D63AC8">
              <w:t xml:space="preserve">liaises with other University departments and faculties </w:t>
            </w:r>
            <w:r w:rsidR="00D30BFC">
              <w:t>on the</w:t>
            </w:r>
            <w:r w:rsidR="00D63AC8">
              <w:t xml:space="preserve"> implementation</w:t>
            </w:r>
            <w:r w:rsidR="00D30BFC">
              <w:t>,</w:t>
            </w:r>
            <w:r w:rsidR="00D63AC8">
              <w:t xml:space="preserve"> </w:t>
            </w:r>
            <w:r w:rsidR="00C57E6B">
              <w:t xml:space="preserve">and </w:t>
            </w:r>
            <w:r w:rsidR="00D63AC8">
              <w:t xml:space="preserve">reports </w:t>
            </w:r>
            <w:r w:rsidR="00C57E6B">
              <w:t xml:space="preserve">upon the progress. </w:t>
            </w:r>
          </w:p>
          <w:p w14:paraId="2F35335E" w14:textId="312FD584" w:rsidR="00C57E6B" w:rsidRDefault="002D7332" w:rsidP="006704C8">
            <w:pPr>
              <w:spacing w:before="240"/>
            </w:pPr>
            <w:r>
              <w:t xml:space="preserve">BRDF works closely with </w:t>
            </w:r>
            <w:r w:rsidR="00D07E00">
              <w:t>t</w:t>
            </w:r>
            <w:r>
              <w:t>he Centre for Inclusion and Diversity</w:t>
            </w:r>
            <w:r w:rsidR="00495AD8">
              <w:t xml:space="preserve"> (CfID)</w:t>
            </w:r>
            <w:r>
              <w:t>, which provides operational support to the EDI Strategy</w:t>
            </w:r>
            <w:r w:rsidR="00DF165C">
              <w:t xml:space="preserve"> and </w:t>
            </w:r>
            <w:r w:rsidR="008D6D56">
              <w:t>U</w:t>
            </w:r>
            <w:r>
              <w:t>niversity’s responsibilities as a signatory of Athena Swan Charter</w:t>
            </w:r>
            <w:r w:rsidR="00747AC2">
              <w:t>,</w:t>
            </w:r>
            <w:r>
              <w:t xml:space="preserve"> Race Equality Charter</w:t>
            </w:r>
            <w:r w:rsidR="00747AC2">
              <w:t>, and Disability C</w:t>
            </w:r>
            <w:r w:rsidR="001A34F1">
              <w:t>o</w:t>
            </w:r>
            <w:r w:rsidR="00747AC2">
              <w:t>nfident</w:t>
            </w:r>
            <w:r w:rsidR="00202D1F">
              <w:t xml:space="preserve"> Scheme</w:t>
            </w:r>
            <w:r>
              <w:t>. Success is measured through improvements in staff survey data, intersectional analysis of staff and student experience surveys, pay reviews and pay gap reports, Advance HE charter marks (Athena SWAN, REC), EDI</w:t>
            </w:r>
            <w:r w:rsidR="00DF165C">
              <w:t>-</w:t>
            </w:r>
            <w:r>
              <w:t xml:space="preserve">related pledges and initiatives, </w:t>
            </w:r>
            <w:r w:rsidR="00C45CAA">
              <w:t>and more</w:t>
            </w:r>
            <w:r>
              <w:t xml:space="preserve">. </w:t>
            </w:r>
          </w:p>
          <w:p w14:paraId="689E6E6E" w14:textId="4FE17AF0" w:rsidR="008C5806" w:rsidRDefault="008C5806" w:rsidP="00E1066D">
            <w:pPr>
              <w:rPr>
                <w:b/>
                <w:bCs/>
              </w:rPr>
            </w:pPr>
            <w:r>
              <w:rPr>
                <w:b/>
                <w:bCs/>
              </w:rPr>
              <w:t>Employment</w:t>
            </w:r>
          </w:p>
          <w:p w14:paraId="3A13E3EF" w14:textId="6F020DCB" w:rsidR="00F5367C" w:rsidRDefault="00F712EF" w:rsidP="00F94D0D">
            <w:pPr>
              <w:spacing w:before="240"/>
            </w:pPr>
            <w:r>
              <w:t>E</w:t>
            </w:r>
            <w:r w:rsidR="00E57655">
              <w:t xml:space="preserve">mployment is linked to the University’s </w:t>
            </w:r>
            <w:hyperlink r:id="rId20" w:tooltip="https://unibradfordac.sharepoint.com/:b:/r/sites/planning-intranet/Shared%20Documents/Strategy%20documents/People%20Strategy%202025%20v0.7%20Final.pdf?csf=1&amp;web=1&amp;e=tTrJA4" w:history="1">
              <w:r w:rsidR="00363782" w:rsidRPr="00C5720D">
                <w:rPr>
                  <w:rStyle w:val="Hyperlink"/>
                </w:rPr>
                <w:t>People</w:t>
              </w:r>
            </w:hyperlink>
            <w:r w:rsidR="00363782">
              <w:t xml:space="preserve"> Strategy</w:t>
            </w:r>
            <w:r w:rsidR="00410B0E">
              <w:t xml:space="preserve">, which aims </w:t>
            </w:r>
            <w:r w:rsidR="00820408">
              <w:t xml:space="preserve">to </w:t>
            </w:r>
            <w:r w:rsidR="00C36151">
              <w:t>promote</w:t>
            </w:r>
            <w:r w:rsidR="00E3763C">
              <w:t xml:space="preserve"> a</w:t>
            </w:r>
            <w:r w:rsidR="00C36151">
              <w:t xml:space="preserve"> </w:t>
            </w:r>
            <w:r w:rsidR="007908F0">
              <w:t xml:space="preserve">values-driven, </w:t>
            </w:r>
            <w:r w:rsidR="00C36151">
              <w:t xml:space="preserve">high-performance environment by </w:t>
            </w:r>
            <w:r w:rsidR="00F5367C" w:rsidRPr="00852818">
              <w:t xml:space="preserve">embedding University values and behaviours across all staff groups, developing leaders and managers, </w:t>
            </w:r>
            <w:r w:rsidR="00F5367C">
              <w:t xml:space="preserve">and </w:t>
            </w:r>
            <w:r w:rsidR="00F5367C" w:rsidRPr="00852818">
              <w:t>managing for high performance</w:t>
            </w:r>
            <w:r w:rsidR="00F5367C">
              <w:t>. The Strategy</w:t>
            </w:r>
            <w:r w:rsidR="007908F0">
              <w:t xml:space="preserve"> highlights </w:t>
            </w:r>
            <w:r w:rsidR="00410B0E">
              <w:t xml:space="preserve">the importance of </w:t>
            </w:r>
            <w:r w:rsidR="007908F0">
              <w:t>inclusion and social mobility,</w:t>
            </w:r>
            <w:r w:rsidR="009100E5">
              <w:t xml:space="preserve"> space for</w:t>
            </w:r>
            <w:r w:rsidR="007908F0">
              <w:t xml:space="preserve"> personal and professional aspirations</w:t>
            </w:r>
            <w:r w:rsidR="00D162BD">
              <w:t>,</w:t>
            </w:r>
            <w:r w:rsidR="009100E5">
              <w:t xml:space="preserve"> and support to career-life journeys.</w:t>
            </w:r>
            <w:r w:rsidR="00E62DB8">
              <w:t xml:space="preserve"> These are reflected in </w:t>
            </w:r>
            <w:r w:rsidR="00B817BF">
              <w:t xml:space="preserve">the </w:t>
            </w:r>
            <w:r w:rsidR="00E62DB8">
              <w:t>Strategy’s objectives</w:t>
            </w:r>
            <w:r w:rsidR="007D2F1B">
              <w:t xml:space="preserve"> and </w:t>
            </w:r>
            <w:r w:rsidR="009A24A8">
              <w:t xml:space="preserve">associated strategic actions, outlined in a delivery plan. </w:t>
            </w:r>
          </w:p>
          <w:p w14:paraId="3FB233BD" w14:textId="5F17ABA8" w:rsidR="00E65F6A" w:rsidRDefault="00784C26" w:rsidP="00F94D0D">
            <w:pPr>
              <w:spacing w:before="240"/>
            </w:pPr>
            <w:r>
              <w:t xml:space="preserve">Key indicators of success </w:t>
            </w:r>
            <w:r w:rsidR="00E65F6A">
              <w:t xml:space="preserve">are measured against </w:t>
            </w:r>
            <w:r w:rsidR="00D178DF">
              <w:t xml:space="preserve">staff survey responses, </w:t>
            </w:r>
            <w:r w:rsidR="009D04AD">
              <w:t>d</w:t>
            </w:r>
            <w:r w:rsidR="00D178DF">
              <w:t>elivery in support of the EDI, Health and Safety, and Wellbeing Strategies</w:t>
            </w:r>
            <w:r w:rsidR="00786B68">
              <w:t xml:space="preserve">, </w:t>
            </w:r>
            <w:r w:rsidR="00424FA7">
              <w:t xml:space="preserve">pay gap analysis, </w:t>
            </w:r>
            <w:r w:rsidR="00786B68">
              <w:t>analysis of PDRs</w:t>
            </w:r>
            <w:r w:rsidR="00E252CC">
              <w:t>, Personal Research and Innovation Plans (PRIP</w:t>
            </w:r>
            <w:r w:rsidR="00213908">
              <w:t>s</w:t>
            </w:r>
            <w:r w:rsidR="00E252CC">
              <w:t>)</w:t>
            </w:r>
            <w:r w:rsidR="00CD04DE">
              <w:t xml:space="preserve">, provision and attendance of induction and training, </w:t>
            </w:r>
            <w:r w:rsidR="00F94D0D">
              <w:t>implementation of a leadership and management development offer</w:t>
            </w:r>
            <w:r w:rsidR="00F47830">
              <w:t>,</w:t>
            </w:r>
            <w:r w:rsidR="00F94D0D">
              <w:t xml:space="preserve"> </w:t>
            </w:r>
            <w:r w:rsidR="0033765E">
              <w:t>and more</w:t>
            </w:r>
            <w:r w:rsidR="00424FA7">
              <w:t>.</w:t>
            </w:r>
            <w:r w:rsidR="003207A6">
              <w:t xml:space="preserve"> Successful implementation is linked to incorporation of </w:t>
            </w:r>
            <w:r w:rsidR="00B817BF">
              <w:t xml:space="preserve">the </w:t>
            </w:r>
            <w:r w:rsidR="003207A6">
              <w:t>Strategy’s elements in business planning activities</w:t>
            </w:r>
            <w:r w:rsidR="0033765E">
              <w:t xml:space="preserve"> by departments</w:t>
            </w:r>
            <w:r w:rsidR="00B823AB">
              <w:t>/</w:t>
            </w:r>
            <w:r w:rsidR="0033765E">
              <w:t>faculties</w:t>
            </w:r>
            <w:r w:rsidR="003207A6">
              <w:t xml:space="preserve">, timely and continuous reporting upon the above, </w:t>
            </w:r>
            <w:r w:rsidR="00734E1A">
              <w:t>and improved feedback.</w:t>
            </w:r>
            <w:r w:rsidR="003207A6">
              <w:t xml:space="preserve"> </w:t>
            </w:r>
          </w:p>
          <w:p w14:paraId="1AB115E0" w14:textId="6E2F4EC7" w:rsidR="00D178DF" w:rsidRDefault="005B55C6" w:rsidP="00D178DF">
            <w:pPr>
              <w:spacing w:before="240"/>
            </w:pPr>
            <w:r>
              <w:t>People Committee oversees and reports upon the implementation of the Strategy</w:t>
            </w:r>
            <w:r w:rsidR="008B4C6D">
              <w:t xml:space="preserve"> under </w:t>
            </w:r>
            <w:r w:rsidR="0034753C">
              <w:t>leadership</w:t>
            </w:r>
            <w:r w:rsidR="008B4C6D">
              <w:t xml:space="preserve"> from the </w:t>
            </w:r>
            <w:r w:rsidR="008B4C6D" w:rsidRPr="008B4C6D">
              <w:t>Director of People and Campus Services</w:t>
            </w:r>
            <w:r w:rsidR="008B4C6D">
              <w:t xml:space="preserve">. </w:t>
            </w:r>
          </w:p>
          <w:p w14:paraId="71C36110" w14:textId="77777777" w:rsidR="008C5806" w:rsidRDefault="008C5806" w:rsidP="00E1066D">
            <w:pPr>
              <w:rPr>
                <w:b/>
                <w:bCs/>
              </w:rPr>
            </w:pPr>
            <w:r>
              <w:rPr>
                <w:b/>
                <w:bCs/>
              </w:rPr>
              <w:t>Professional Development of Researchers</w:t>
            </w:r>
          </w:p>
          <w:p w14:paraId="2CAAA7AA" w14:textId="28075F9B" w:rsidR="00B20575" w:rsidRPr="00C64F6B" w:rsidRDefault="00F712EF" w:rsidP="00E355C8">
            <w:r>
              <w:t>Professional Development</w:t>
            </w:r>
            <w:r w:rsidR="00211CD5">
              <w:t xml:space="preserve"> </w:t>
            </w:r>
            <w:r w:rsidR="003105EB">
              <w:t xml:space="preserve">is </w:t>
            </w:r>
            <w:r w:rsidR="00272D51">
              <w:t>identified as a crucial element for developing research skills in Research and Innovation Strategy</w:t>
            </w:r>
            <w:r w:rsidR="00986534">
              <w:t xml:space="preserve">. It is underpinned by the People Strategy </w:t>
            </w:r>
            <w:r w:rsidR="00986534">
              <w:lastRenderedPageBreak/>
              <w:t xml:space="preserve">and </w:t>
            </w:r>
            <w:r w:rsidR="00BF6764">
              <w:t>engages</w:t>
            </w:r>
            <w:r w:rsidR="00986534">
              <w:t xml:space="preserve"> multiple departments across the University. </w:t>
            </w:r>
            <w:r w:rsidR="00DB614A">
              <w:t xml:space="preserve">BRDF provides operational support to </w:t>
            </w:r>
            <w:r w:rsidR="00393511">
              <w:t>p</w:t>
            </w:r>
            <w:r w:rsidR="00393511" w:rsidRPr="00393511">
              <w:t xml:space="preserve">rofessional </w:t>
            </w:r>
            <w:r w:rsidR="00393511">
              <w:t>d</w:t>
            </w:r>
            <w:r w:rsidR="00393511" w:rsidRPr="00393511">
              <w:t>evelopment</w:t>
            </w:r>
            <w:r w:rsidR="00DB614A">
              <w:t xml:space="preserve">. </w:t>
            </w:r>
            <w:r w:rsidR="008F2DC6">
              <w:t xml:space="preserve">The key objective is to </w:t>
            </w:r>
            <w:r w:rsidR="00C64F6B">
              <w:t xml:space="preserve">create a continuous pipeline of training support for PGRs and onwards to be aligned with </w:t>
            </w:r>
            <w:r w:rsidR="00B817BF">
              <w:t xml:space="preserve">our </w:t>
            </w:r>
            <w:r w:rsidR="00C64F6B">
              <w:t xml:space="preserve">Bradford Academic pathway. Bradford Academic sets out career prospects across each stage of </w:t>
            </w:r>
            <w:r w:rsidR="00B817BF">
              <w:t xml:space="preserve">a </w:t>
            </w:r>
            <w:r w:rsidR="00C64F6B">
              <w:t>research career journey</w:t>
            </w:r>
            <w:r w:rsidR="00B75D16">
              <w:t xml:space="preserve"> – overseen by </w:t>
            </w:r>
            <w:r w:rsidR="00B817BF">
              <w:t>the</w:t>
            </w:r>
            <w:r w:rsidR="00BF6764">
              <w:t xml:space="preserve"> </w:t>
            </w:r>
            <w:r w:rsidR="00843F5E" w:rsidRPr="00843F5E">
              <w:t>Organisational Development and Culture</w:t>
            </w:r>
            <w:r w:rsidR="00075777">
              <w:t xml:space="preserve"> </w:t>
            </w:r>
            <w:r w:rsidR="00843F5E">
              <w:t>t</w:t>
            </w:r>
            <w:r w:rsidR="00BF6764">
              <w:t>eam</w:t>
            </w:r>
            <w:r w:rsidR="00C64F6B">
              <w:t>.</w:t>
            </w:r>
            <w:r w:rsidR="0066100F">
              <w:t xml:space="preserve"> </w:t>
            </w:r>
            <w:r w:rsidR="00E96BA4">
              <w:t xml:space="preserve">The indicators of success </w:t>
            </w:r>
            <w:r w:rsidR="00E355C8">
              <w:t xml:space="preserve">are </w:t>
            </w:r>
            <w:r w:rsidR="00C45CAA">
              <w:t xml:space="preserve">as </w:t>
            </w:r>
            <w:r w:rsidR="002572B2">
              <w:t xml:space="preserve">per </w:t>
            </w:r>
            <w:r w:rsidR="00B817BF">
              <w:t xml:space="preserve">the </w:t>
            </w:r>
            <w:r w:rsidR="00E355C8">
              <w:t>Research and Innovation Strategy’s KPIs</w:t>
            </w:r>
            <w:r w:rsidR="002572B2">
              <w:t xml:space="preserve">. Additional indicators include </w:t>
            </w:r>
            <w:r w:rsidR="00E355C8">
              <w:t xml:space="preserve">availability of internal and </w:t>
            </w:r>
            <w:r w:rsidR="002572B2">
              <w:t>externally sourced</w:t>
            </w:r>
            <w:r w:rsidR="00E355C8">
              <w:t xml:space="preserve"> training that caters</w:t>
            </w:r>
            <w:r w:rsidR="002572B2">
              <w:t xml:space="preserve"> for</w:t>
            </w:r>
            <w:r w:rsidR="00E355C8">
              <w:t xml:space="preserve"> </w:t>
            </w:r>
            <w:r w:rsidR="003F7C7E">
              <w:t>demand of researchers with diverse needs and at various career stages</w:t>
            </w:r>
            <w:r w:rsidR="00E355C8">
              <w:t xml:space="preserve">, </w:t>
            </w:r>
            <w:r w:rsidR="002572B2">
              <w:t xml:space="preserve">as well as </w:t>
            </w:r>
            <w:r w:rsidR="00E355C8">
              <w:t xml:space="preserve">engagement and attendance of training, </w:t>
            </w:r>
            <w:r w:rsidR="002572B2">
              <w:t>and availability of system</w:t>
            </w:r>
            <w:r w:rsidR="00B817BF">
              <w:t>s</w:t>
            </w:r>
            <w:r w:rsidR="002572B2">
              <w:t xml:space="preserve"> for </w:t>
            </w:r>
            <w:r w:rsidR="00E355C8">
              <w:t xml:space="preserve">monitoring and </w:t>
            </w:r>
            <w:r w:rsidR="002572B2">
              <w:t>recording</w:t>
            </w:r>
            <w:r w:rsidR="00E355C8">
              <w:t xml:space="preserve"> attendance. </w:t>
            </w:r>
          </w:p>
        </w:tc>
      </w:tr>
      <w:tr w:rsidR="00E1066D" w14:paraId="520B85F4" w14:textId="77777777" w:rsidTr="4536CEF9">
        <w:tc>
          <w:tcPr>
            <w:tcW w:w="8268" w:type="dxa"/>
          </w:tcPr>
          <w:p w14:paraId="638DCD58" w14:textId="6DB7FB8E" w:rsidR="00E1066D" w:rsidRPr="00EE4921" w:rsidRDefault="00E1066D" w:rsidP="009727D9">
            <w:pPr>
              <w:rPr>
                <w:b/>
                <w:bCs/>
                <w:i/>
                <w:iCs/>
              </w:rPr>
            </w:pPr>
            <w:r w:rsidRPr="007431E8">
              <w:rPr>
                <w:b/>
                <w:bCs/>
              </w:rPr>
              <w:lastRenderedPageBreak/>
              <w:t xml:space="preserve">Summary </w:t>
            </w:r>
            <w:r w:rsidR="00A86235">
              <w:rPr>
                <w:b/>
                <w:bCs/>
              </w:rPr>
              <w:t xml:space="preserve">of </w:t>
            </w:r>
            <w:r w:rsidR="002F68A6">
              <w:rPr>
                <w:b/>
                <w:bCs/>
              </w:rPr>
              <w:t>actions taken</w:t>
            </w:r>
            <w:r w:rsidR="003908AD">
              <w:rPr>
                <w:b/>
                <w:bCs/>
              </w:rPr>
              <w:t>, and evaluation of progress made,</w:t>
            </w:r>
            <w:r w:rsidR="002F68A6">
              <w:rPr>
                <w:b/>
                <w:bCs/>
              </w:rPr>
              <w:t xml:space="preserve"> </w:t>
            </w:r>
            <w:r w:rsidR="00B20575">
              <w:rPr>
                <w:b/>
                <w:bCs/>
              </w:rPr>
              <w:t xml:space="preserve">in the current reporting period </w:t>
            </w:r>
            <w:r w:rsidR="00DD7133">
              <w:rPr>
                <w:b/>
                <w:bCs/>
              </w:rPr>
              <w:t xml:space="preserve">to </w:t>
            </w:r>
            <w:r w:rsidR="008C5806">
              <w:rPr>
                <w:b/>
                <w:bCs/>
              </w:rPr>
              <w:t xml:space="preserve">implement your plan to </w:t>
            </w:r>
            <w:r w:rsidR="00DD7133">
              <w:rPr>
                <w:b/>
                <w:bCs/>
              </w:rPr>
              <w:t xml:space="preserve">support the three pillars </w:t>
            </w:r>
            <w:r w:rsidR="00FB4C92">
              <w:rPr>
                <w:b/>
                <w:bCs/>
              </w:rPr>
              <w:t xml:space="preserve">in respect of </w:t>
            </w:r>
            <w:r w:rsidR="00500F1F">
              <w:rPr>
                <w:b/>
                <w:bCs/>
              </w:rPr>
              <w:t xml:space="preserve">each of </w:t>
            </w:r>
            <w:r w:rsidR="00BA7477">
              <w:rPr>
                <w:b/>
                <w:bCs/>
              </w:rPr>
              <w:t xml:space="preserve">your </w:t>
            </w:r>
            <w:r w:rsidR="00500F1F">
              <w:rPr>
                <w:b/>
                <w:bCs/>
              </w:rPr>
              <w:t xml:space="preserve">key stakeholder groups </w:t>
            </w:r>
            <w:r w:rsidR="00BA7477">
              <w:rPr>
                <w:b/>
                <w:bCs/>
              </w:rPr>
              <w:t>[</w:t>
            </w:r>
            <w:r w:rsidR="00500F1F">
              <w:rPr>
                <w:b/>
                <w:bCs/>
              </w:rPr>
              <w:t>Institution; Academic Managers of Researchers (Deans, Heads of Schools/Departments/PIs); Researchers</w:t>
            </w:r>
            <w:r w:rsidR="00BA7477">
              <w:rPr>
                <w:b/>
                <w:bCs/>
              </w:rPr>
              <w:t>]</w:t>
            </w:r>
            <w:r w:rsidR="00EE4921">
              <w:rPr>
                <w:b/>
                <w:bCs/>
              </w:rPr>
              <w:t xml:space="preserve"> </w:t>
            </w:r>
          </w:p>
        </w:tc>
      </w:tr>
      <w:tr w:rsidR="00664AF8" w14:paraId="68DE61D3" w14:textId="77777777" w:rsidTr="000A3CC9">
        <w:trPr>
          <w:trHeight w:val="1550"/>
        </w:trPr>
        <w:tc>
          <w:tcPr>
            <w:tcW w:w="8268" w:type="dxa"/>
          </w:tcPr>
          <w:p w14:paraId="4174CF38" w14:textId="66A6D124" w:rsidR="00664AF8" w:rsidRPr="00664AF8" w:rsidRDefault="00664AF8" w:rsidP="00EE4921">
            <w:pPr>
              <w:spacing w:after="0"/>
              <w:rPr>
                <w:b/>
                <w:bCs/>
              </w:rPr>
            </w:pPr>
            <w:r>
              <w:rPr>
                <w:b/>
                <w:bCs/>
              </w:rPr>
              <w:t xml:space="preserve">Environment and Culture </w:t>
            </w:r>
            <w:r>
              <w:rPr>
                <w:b/>
                <w:bCs/>
                <w:i/>
                <w:iCs/>
              </w:rPr>
              <w:t>(max 600 words)</w:t>
            </w:r>
          </w:p>
          <w:p w14:paraId="2E1C869B" w14:textId="2BBE4994" w:rsidR="00664AF8" w:rsidRDefault="00664AF8" w:rsidP="009727D9">
            <w:pPr>
              <w:rPr>
                <w:b/>
                <w:bCs/>
              </w:rPr>
            </w:pPr>
            <w:r w:rsidRPr="00F5403C">
              <w:rPr>
                <w:b/>
                <w:bCs/>
              </w:rPr>
              <w:t xml:space="preserve">Wordcount: </w:t>
            </w:r>
            <w:r>
              <w:rPr>
                <w:b/>
                <w:bCs/>
              </w:rPr>
              <w:t>525</w:t>
            </w:r>
          </w:p>
          <w:p w14:paraId="079CE93E" w14:textId="7D93E747" w:rsidR="00664AF8" w:rsidRPr="00CC27B4" w:rsidRDefault="00664AF8" w:rsidP="009727D9">
            <w:pPr>
              <w:rPr>
                <w:b/>
                <w:bCs/>
              </w:rPr>
            </w:pPr>
            <w:r w:rsidRPr="00CC27B4">
              <w:rPr>
                <w:b/>
                <w:bCs/>
              </w:rPr>
              <w:t>Institution</w:t>
            </w:r>
          </w:p>
          <w:p w14:paraId="7F3F3E1E" w14:textId="7C1EF9BE" w:rsidR="00664AF8" w:rsidRDefault="00664AF8" w:rsidP="009727D9">
            <w:r w:rsidRPr="003B6224">
              <w:t xml:space="preserve">All Associate Deans with responsibility for research </w:t>
            </w:r>
            <w:r>
              <w:t>are</w:t>
            </w:r>
            <w:r w:rsidRPr="003B6224">
              <w:t xml:space="preserve"> aware of the Researcher Concordat work and the external website </w:t>
            </w:r>
            <w:r>
              <w:t>A</w:t>
            </w:r>
            <w:r w:rsidRPr="003B6224">
              <w:t xml:space="preserve">ction </w:t>
            </w:r>
            <w:r>
              <w:t>P</w:t>
            </w:r>
            <w:r w:rsidRPr="003B6224">
              <w:t xml:space="preserve">lan. They act as invited members in the </w:t>
            </w:r>
            <w:r>
              <w:t>Researcher Development Working Group</w:t>
            </w:r>
            <w:r w:rsidRPr="003B6224">
              <w:t xml:space="preserve">. </w:t>
            </w:r>
            <w:r>
              <w:t>T</w:t>
            </w:r>
            <w:r w:rsidRPr="003B6224">
              <w:t>he Researcher Concordat</w:t>
            </w:r>
            <w:r>
              <w:t xml:space="preserve"> is referred to in the faculties’ ToRs, whereby </w:t>
            </w:r>
            <w:r w:rsidRPr="00F34E0F">
              <w:t>Facult</w:t>
            </w:r>
            <w:r>
              <w:t>ies’</w:t>
            </w:r>
            <w:r w:rsidRPr="00F34E0F">
              <w:t xml:space="preserve"> R</w:t>
            </w:r>
            <w:r>
              <w:t xml:space="preserve">esearch and </w:t>
            </w:r>
            <w:r w:rsidRPr="00F34E0F">
              <w:t>I</w:t>
            </w:r>
            <w:r>
              <w:t xml:space="preserve">nnovation </w:t>
            </w:r>
            <w:r w:rsidRPr="00F34E0F">
              <w:t>C</w:t>
            </w:r>
            <w:r>
              <w:t>ommittee</w:t>
            </w:r>
            <w:r w:rsidRPr="00F34E0F">
              <w:t>s help share University</w:t>
            </w:r>
            <w:r>
              <w:t>’</w:t>
            </w:r>
            <w:r w:rsidRPr="00F34E0F">
              <w:t xml:space="preserve">s </w:t>
            </w:r>
            <w:r w:rsidRPr="003B6224">
              <w:t xml:space="preserve">Researcher Concordat </w:t>
            </w:r>
            <w:r w:rsidRPr="00F34E0F">
              <w:t>initiatives</w:t>
            </w:r>
            <w:r>
              <w:t xml:space="preserve">. Researchers and managers of researchers from different faculties represent interests of researchers across various career stages at the Researcher Development Working Group and in such way shape University Concordat-related initiatives. </w:t>
            </w:r>
          </w:p>
          <w:p w14:paraId="046F15B9" w14:textId="6FAAD295" w:rsidR="00664AF8" w:rsidRDefault="00664AF8" w:rsidP="00B8052C">
            <w:pPr>
              <w:spacing w:before="240"/>
            </w:pPr>
            <w:r>
              <w:t xml:space="preserve">In spring-summer 2023, CEDARS was run for the first time at the University. The report was disseminated via the Researcher Development Working Group and Research and Innovation Committee. An Action Plan stemming from the report was incorporated into BRDF activities. The University considers participation in the pilot for revised CEDARS in April 2024. Staff and PGR surveys and focus groups will be run annually to evaluate progress. </w:t>
            </w:r>
          </w:p>
          <w:p w14:paraId="3E57D003" w14:textId="77777777" w:rsidR="00664AF8" w:rsidRDefault="00664AF8" w:rsidP="00C81CB7">
            <w:pPr>
              <w:spacing w:before="240"/>
            </w:pPr>
            <w:r>
              <w:t xml:space="preserve">Recently appointed Head of Research Operations is planning a review of policies applicable to research staff and to streamline the University’s approach towards research misconduct investigations and quality assurance procedures. </w:t>
            </w:r>
          </w:p>
          <w:p w14:paraId="780E6DCE" w14:textId="615CC0A8" w:rsidR="00664AF8" w:rsidRDefault="00664AF8" w:rsidP="00C81CB7">
            <w:pPr>
              <w:spacing w:before="240"/>
            </w:pPr>
            <w:r>
              <w:lastRenderedPageBreak/>
              <w:t xml:space="preserve">Bradford Scholars policies were developed to provide a research archive for publications resulting from research conducted at Bradford. A Rights Retention project is pending approval by the Senate in January 2024. These take place in consultation with researchers via faculty staff meetings. Internal stakeholders consider developing the guidance on the use of artificial intelligence (AI) in research in Bradford. </w:t>
            </w:r>
          </w:p>
          <w:p w14:paraId="0B1E518A" w14:textId="3CBC7F71" w:rsidR="00664AF8" w:rsidRPr="00CC27B4" w:rsidRDefault="00664AF8" w:rsidP="009727D9">
            <w:pPr>
              <w:rPr>
                <w:b/>
                <w:bCs/>
              </w:rPr>
            </w:pPr>
            <w:r w:rsidRPr="00CC27B4">
              <w:rPr>
                <w:b/>
                <w:bCs/>
              </w:rPr>
              <w:t>Academic Managers of Researchers</w:t>
            </w:r>
          </w:p>
          <w:p w14:paraId="2FAC6DBF" w14:textId="77777777" w:rsidR="00664AF8" w:rsidRDefault="00664AF8" w:rsidP="009727D9">
            <w:r>
              <w:t xml:space="preserve">The 2023 CEDARS results have indicated largely positive feedback around work environment and performance of managers as key contributors to research culture at the institution. All newly appointed managers at the University undergo induction and gain access to guidelines for managers as part of their onboarding. This training is mandatory, and participation is monitored centrally by </w:t>
            </w:r>
            <w:r w:rsidRPr="001671DF">
              <w:t>Organisational Development and Culture</w:t>
            </w:r>
            <w:r>
              <w:t xml:space="preserve">. Managers also have access to additional training (discussed in more detail Furter in this section). </w:t>
            </w:r>
          </w:p>
          <w:p w14:paraId="166A6DA4" w14:textId="77777777" w:rsidR="00664AF8" w:rsidRDefault="00664AF8" w:rsidP="007F257C">
            <w:r>
              <w:t xml:space="preserve">Managers’ performance is being reviewed via PDRs, and progress and timely completion of those are monitored by HR representatives assigned to individual departments. </w:t>
            </w:r>
          </w:p>
          <w:p w14:paraId="541DF150" w14:textId="2F7866EC" w:rsidR="00664AF8" w:rsidRDefault="00664AF8" w:rsidP="009727D9">
            <w:r w:rsidRPr="006B01C1">
              <w:t>Mental Wellbeing Support &amp; Resources</w:t>
            </w:r>
            <w:r>
              <w:t xml:space="preserve"> are also available to managers. These materials are being continuously updated. A series of events, “Let’s talk about… (mental wellbeing/menopause/carers, etc.)” took place in 2023. </w:t>
            </w:r>
            <w:r w:rsidRPr="00496023">
              <w:t>An Employee Wellbeing Consultant has been appointed to lead on strategic wellbeing initiatives and projects</w:t>
            </w:r>
            <w:r>
              <w:t xml:space="preserve"> at the University</w:t>
            </w:r>
            <w:r w:rsidRPr="00496023">
              <w:t>.</w:t>
            </w:r>
          </w:p>
          <w:p w14:paraId="034C2DD4" w14:textId="28FF1A28" w:rsidR="00664AF8" w:rsidRPr="00CC27B4" w:rsidRDefault="00664AF8" w:rsidP="009727D9">
            <w:pPr>
              <w:rPr>
                <w:b/>
                <w:bCs/>
              </w:rPr>
            </w:pPr>
            <w:r w:rsidRPr="00CC27B4">
              <w:rPr>
                <w:b/>
                <w:bCs/>
              </w:rPr>
              <w:t>Researchers</w:t>
            </w:r>
          </w:p>
          <w:p w14:paraId="37817B2A" w14:textId="7994EC5B" w:rsidR="00664AF8" w:rsidRDefault="00664AF8" w:rsidP="00BE555F">
            <w:r>
              <w:t xml:space="preserve">The 2023 CEDARS results demonstrate that Bradford researchers are generally satisfied with their work and feel supported. Staff demonstrate similar to the sector awareness of wider regulations, such as Concordats for Researcher Development, Knowledge Exchange, etc. Researchers take part in staff assembly meetings and other fora to share their views and inform Concordat-related activities. Faculty of Health Studies has initiated work to launch an ECR Forum, with the plan to launch this as a University-wide platform in 2024. </w:t>
            </w:r>
          </w:p>
          <w:p w14:paraId="140A43F9" w14:textId="1E85E18C" w:rsidR="00664AF8" w:rsidRPr="00FE309F" w:rsidRDefault="00664AF8" w:rsidP="00FE309F">
            <w:r>
              <w:t xml:space="preserve">However, researchers would like to get more detailed information around availability of funding for attending conferences and other research activities as well as the University being more specific around its support to research integrity and reporting on behaviours such as </w:t>
            </w:r>
            <w:r w:rsidRPr="00752009">
              <w:t xml:space="preserve">discrimination, harassment, bullying, and </w:t>
            </w:r>
            <w:r w:rsidRPr="00752009">
              <w:lastRenderedPageBreak/>
              <w:t>research misconduct.</w:t>
            </w:r>
            <w:r>
              <w:t xml:space="preserve"> These will be included in BRDF activities for the upcoming year.</w:t>
            </w:r>
          </w:p>
        </w:tc>
      </w:tr>
      <w:tr w:rsidR="00664AF8" w14:paraId="7B6F73CE" w14:textId="77777777" w:rsidTr="00890AF7">
        <w:tc>
          <w:tcPr>
            <w:tcW w:w="8268" w:type="dxa"/>
          </w:tcPr>
          <w:p w14:paraId="5D2D0A3B" w14:textId="4D1CD867" w:rsidR="00664AF8" w:rsidRPr="00664AF8" w:rsidRDefault="00664AF8" w:rsidP="00664AF8">
            <w:pPr>
              <w:spacing w:after="0"/>
              <w:rPr>
                <w:b/>
                <w:bCs/>
                <w:i/>
                <w:iCs/>
              </w:rPr>
            </w:pPr>
            <w:r>
              <w:rPr>
                <w:b/>
                <w:bCs/>
              </w:rPr>
              <w:lastRenderedPageBreak/>
              <w:t xml:space="preserve">Employment </w:t>
            </w:r>
            <w:r>
              <w:rPr>
                <w:b/>
                <w:bCs/>
                <w:i/>
                <w:iCs/>
              </w:rPr>
              <w:t>(max 600 words)</w:t>
            </w:r>
          </w:p>
          <w:p w14:paraId="51E9912C" w14:textId="326C2DA2" w:rsidR="00664AF8" w:rsidRDefault="00664AF8" w:rsidP="009C1F36">
            <w:pPr>
              <w:rPr>
                <w:b/>
                <w:bCs/>
              </w:rPr>
            </w:pPr>
            <w:r w:rsidRPr="00F5403C">
              <w:rPr>
                <w:b/>
                <w:bCs/>
              </w:rPr>
              <w:t xml:space="preserve">Wordcount: </w:t>
            </w:r>
            <w:r>
              <w:rPr>
                <w:b/>
                <w:bCs/>
              </w:rPr>
              <w:t>513</w:t>
            </w:r>
          </w:p>
          <w:p w14:paraId="4A87B680" w14:textId="61CEB458" w:rsidR="00664AF8" w:rsidRPr="00CC27B4" w:rsidRDefault="00664AF8" w:rsidP="009C1F36">
            <w:pPr>
              <w:rPr>
                <w:b/>
                <w:bCs/>
              </w:rPr>
            </w:pPr>
            <w:r w:rsidRPr="00CC27B4">
              <w:rPr>
                <w:b/>
                <w:bCs/>
              </w:rPr>
              <w:t>Institution</w:t>
            </w:r>
          </w:p>
          <w:p w14:paraId="10300FCF" w14:textId="640B3FEA" w:rsidR="00664AF8" w:rsidRDefault="00664AF8" w:rsidP="009C1F36">
            <w:r w:rsidRPr="00EC16F5">
              <w:t xml:space="preserve">Gap analysis </w:t>
            </w:r>
            <w:r>
              <w:t>demonstrates that University</w:t>
            </w:r>
            <w:r w:rsidRPr="00EC16F5">
              <w:t xml:space="preserve"> policies comply</w:t>
            </w:r>
            <w:r>
              <w:t xml:space="preserve"> with sector requirements. However, more work may be required around monitoring the implementation of those and reporting on incidents. </w:t>
            </w:r>
          </w:p>
          <w:p w14:paraId="6A46B612" w14:textId="74F5A8DA" w:rsidR="00664AF8" w:rsidRDefault="00664AF8" w:rsidP="009C1F36">
            <w:r>
              <w:t xml:space="preserve">According to the 2023 CEDARS results, recruitment and employment are perceived as being fair and inclusive. However, more effort may be needed to make the processes more transparent and explain them to researchers better. </w:t>
            </w:r>
          </w:p>
          <w:p w14:paraId="52B012AA" w14:textId="3F303643" w:rsidR="00664AF8" w:rsidRDefault="00664AF8" w:rsidP="00D00860">
            <w:r>
              <w:t xml:space="preserve">Work with Bradford Academic on </w:t>
            </w:r>
            <w:r w:rsidRPr="008C1067">
              <w:t xml:space="preserve">Grade Gateway </w:t>
            </w:r>
            <w:r>
              <w:t xml:space="preserve">Evidence continues – requirements for Grades 9-11/12 have been completed, requirements for Grade 8 are being drafted. Review of existing grades, assessment models, and career matrix is scheduled for the upcoming year. </w:t>
            </w:r>
          </w:p>
          <w:p w14:paraId="5D63BE0A" w14:textId="0EEF26CA" w:rsidR="00664AF8" w:rsidRDefault="00664AF8" w:rsidP="009C1F36">
            <w:r>
              <w:t xml:space="preserve">The system of annual appraisals and awards is also in place, and celebrations of individual and team achievements run annually. These include </w:t>
            </w:r>
            <w:r w:rsidRPr="005E2590">
              <w:t>Monthly publication award</w:t>
            </w:r>
            <w:r>
              <w:t xml:space="preserve"> to celebrate </w:t>
            </w:r>
            <w:r w:rsidRPr="00AE00C6">
              <w:t>a high-quality output accepted for publication in that month</w:t>
            </w:r>
            <w:r>
              <w:t xml:space="preserve">, </w:t>
            </w:r>
            <w:r w:rsidRPr="00C71FFC">
              <w:t>Honorary Degree, or an Outstanding Contribution Award</w:t>
            </w:r>
            <w:r>
              <w:t xml:space="preserve"> to those who a</w:t>
            </w:r>
            <w:r w:rsidRPr="009607F3">
              <w:t>re outstanding in their academic or scholarly endeavour</w:t>
            </w:r>
            <w:r>
              <w:t xml:space="preserve">, </w:t>
            </w:r>
            <w:r w:rsidRPr="009803D4">
              <w:t>Annual Rewards</w:t>
            </w:r>
            <w:r>
              <w:t xml:space="preserve"> via the </w:t>
            </w:r>
            <w:r w:rsidRPr="009803D4">
              <w:t>Performance Recognition Scheme</w:t>
            </w:r>
            <w:r>
              <w:t xml:space="preserve"> which </w:t>
            </w:r>
            <w:r w:rsidRPr="00DD5B2F">
              <w:t>enables managers to recognise their employee’s contribution</w:t>
            </w:r>
            <w:r>
              <w:t xml:space="preserve">, </w:t>
            </w:r>
            <w:r w:rsidRPr="00E65AFC">
              <w:t>Outstanding Achiever Awards</w:t>
            </w:r>
            <w:r>
              <w:t xml:space="preserve"> for outstanding contributions in diverse areas, and more.</w:t>
            </w:r>
          </w:p>
          <w:p w14:paraId="19644326" w14:textId="01EF88E7" w:rsidR="00664AF8" w:rsidRPr="00CC27B4" w:rsidRDefault="00664AF8" w:rsidP="009C1F36">
            <w:pPr>
              <w:rPr>
                <w:b/>
                <w:bCs/>
              </w:rPr>
            </w:pPr>
            <w:r w:rsidRPr="00CC27B4">
              <w:rPr>
                <w:b/>
                <w:bCs/>
              </w:rPr>
              <w:t>Academic Managers of Researchers</w:t>
            </w:r>
          </w:p>
          <w:p w14:paraId="27687FD1" w14:textId="61023E5E" w:rsidR="00664AF8" w:rsidRDefault="00664AF8" w:rsidP="009C1F36">
            <w:r>
              <w:t xml:space="preserve">Managers of researchers are being continuously updated of all policy changes at the University and across the wider environment through staff meetings and assemblies and via the University’s SharePoint and communication channels. Training on recruitment is available to all managers and is mandatory for those involved in recruitment. </w:t>
            </w:r>
          </w:p>
          <w:p w14:paraId="0291DBE5" w14:textId="01D06127" w:rsidR="00664AF8" w:rsidRDefault="00664AF8" w:rsidP="009C1F36">
            <w:r w:rsidRPr="008B725B">
              <w:t>Training and development opportunities are available to all managers i.e.</w:t>
            </w:r>
            <w:r>
              <w:t>,</w:t>
            </w:r>
            <w:r w:rsidRPr="008B725B">
              <w:t xml:space="preserve"> </w:t>
            </w:r>
            <w:r w:rsidRPr="0077080C">
              <w:t>Institute of Leadership &amp; Management</w:t>
            </w:r>
            <w:r>
              <w:t xml:space="preserve"> (ILM)</w:t>
            </w:r>
            <w:r w:rsidRPr="0077080C">
              <w:t xml:space="preserve"> </w:t>
            </w:r>
            <w:r>
              <w:t xml:space="preserve">courses and </w:t>
            </w:r>
            <w:r w:rsidRPr="008B725B">
              <w:t xml:space="preserve">apprenticeships, external </w:t>
            </w:r>
            <w:r w:rsidRPr="008B725B">
              <w:lastRenderedPageBreak/>
              <w:t>leadership programmes, internal Bradford Manager new manager programme</w:t>
            </w:r>
            <w:r>
              <w:t xml:space="preserve"> launched in 2023</w:t>
            </w:r>
            <w:r w:rsidRPr="008B725B">
              <w:t>, skills development through internal courses, self-development resources through online learning platform Percipio.</w:t>
            </w:r>
          </w:p>
          <w:p w14:paraId="3670B90F" w14:textId="536FC29E" w:rsidR="00664AF8" w:rsidRDefault="00664AF8" w:rsidP="009C1F36">
            <w:r>
              <w:t xml:space="preserve">Guidance on </w:t>
            </w:r>
            <w:r w:rsidRPr="0051165B">
              <w:t xml:space="preserve">having meaningful, of value PDR conversations is available </w:t>
            </w:r>
            <w:r>
              <w:t xml:space="preserve">for managers of researchers and researchers </w:t>
            </w:r>
            <w:r w:rsidRPr="0051165B">
              <w:t>through SharePoint resources and bitesize videos,</w:t>
            </w:r>
            <w:r>
              <w:t xml:space="preserve"> as well as</w:t>
            </w:r>
            <w:r w:rsidRPr="0051165B">
              <w:t xml:space="preserve"> resources on Percipio</w:t>
            </w:r>
            <w:r>
              <w:t xml:space="preserve">. Both researchers and managers of researchers are included in the PDR process. There are also opportunities for coaching and mentoring within the University, with the list of internal and external experts available on SharePoint with instructions on how to apply for this support. Monitoring of participation in these opportunities is carried out by </w:t>
            </w:r>
            <w:r w:rsidRPr="00843F5E">
              <w:t>Organisational Development and Culture</w:t>
            </w:r>
            <w:r>
              <w:t xml:space="preserve">. </w:t>
            </w:r>
          </w:p>
          <w:p w14:paraId="1D784D64" w14:textId="77777777" w:rsidR="00664AF8" w:rsidRPr="00CC27B4" w:rsidRDefault="00664AF8" w:rsidP="009C1F36">
            <w:pPr>
              <w:rPr>
                <w:b/>
                <w:bCs/>
              </w:rPr>
            </w:pPr>
            <w:r w:rsidRPr="00CC27B4">
              <w:rPr>
                <w:b/>
                <w:bCs/>
              </w:rPr>
              <w:t>Researchers</w:t>
            </w:r>
          </w:p>
          <w:p w14:paraId="240915BE" w14:textId="77EA3E7C" w:rsidR="00664AF8" w:rsidRDefault="00664AF8" w:rsidP="00B614DB">
            <w:r>
              <w:t>The system of induction for academic staff is in place. However, according to the 2023 CEDARS results, more work is required so that experience with local induction is similar for all researchers across different University departments.</w:t>
            </w:r>
          </w:p>
          <w:p w14:paraId="468F0C84" w14:textId="706C25D0" w:rsidR="00664AF8" w:rsidRDefault="00664AF8" w:rsidP="00004137">
            <w:r>
              <w:t>Researchers are generally aware of University policies and requirements as part of their induction process. However, there is appreciation that expectations of researchers, their managers, and institution could be set-out more clearly and reflected in Codes of Practice better (for staff, supervisors, PGRs).</w:t>
            </w:r>
          </w:p>
          <w:p w14:paraId="71040824" w14:textId="77777777" w:rsidR="00664AF8" w:rsidRDefault="00664AF8" w:rsidP="002950BC">
            <w:pPr>
              <w:rPr>
                <w:lang w:eastAsia="en-GB"/>
              </w:rPr>
            </w:pPr>
            <w:r>
              <w:t xml:space="preserve">Work continues on tailoring </w:t>
            </w:r>
            <w:r>
              <w:rPr>
                <w:lang w:eastAsia="en-GB"/>
              </w:rPr>
              <w:t>s</w:t>
            </w:r>
            <w:r w:rsidRPr="00253F46">
              <w:rPr>
                <w:lang w:eastAsia="en-GB"/>
              </w:rPr>
              <w:t>taff questionnaires to collect data for Athena Swan</w:t>
            </w:r>
            <w:r>
              <w:rPr>
                <w:lang w:eastAsia="en-GB"/>
              </w:rPr>
              <w:t xml:space="preserve"> to include questions more relevant to ECRs and other cohorts of researchers. </w:t>
            </w:r>
          </w:p>
          <w:p w14:paraId="1F1ECB71" w14:textId="105198C9" w:rsidR="00664AF8" w:rsidRDefault="00664AF8" w:rsidP="002950BC">
            <w:r>
              <w:rPr>
                <w:lang w:eastAsia="en-GB"/>
              </w:rPr>
              <w:t xml:space="preserve">Work has started on reviewing the CEDARS questionnaire to be more reflective of research culture in the context of PGRs and ECRs experience as well as ensuring that information gathered enables institutions to monitor their progress better. The University will take part in the pilot of revised questionnaire in 2024.  </w:t>
            </w:r>
          </w:p>
        </w:tc>
      </w:tr>
      <w:tr w:rsidR="00664AF8" w14:paraId="7D1EB857" w14:textId="77777777" w:rsidTr="00FC548A">
        <w:tc>
          <w:tcPr>
            <w:tcW w:w="8268" w:type="dxa"/>
          </w:tcPr>
          <w:p w14:paraId="6972D862" w14:textId="75E42999" w:rsidR="00664AF8" w:rsidRPr="00664AF8" w:rsidRDefault="00664AF8" w:rsidP="00664AF8">
            <w:pPr>
              <w:spacing w:after="0"/>
              <w:rPr>
                <w:b/>
                <w:bCs/>
                <w:i/>
                <w:iCs/>
              </w:rPr>
            </w:pPr>
            <w:r>
              <w:rPr>
                <w:b/>
                <w:bCs/>
              </w:rPr>
              <w:lastRenderedPageBreak/>
              <w:t xml:space="preserve">Professional development </w:t>
            </w:r>
            <w:r>
              <w:rPr>
                <w:b/>
                <w:bCs/>
                <w:i/>
                <w:iCs/>
              </w:rPr>
              <w:t>(max 600 words)</w:t>
            </w:r>
          </w:p>
          <w:p w14:paraId="3E46D680" w14:textId="09EC5733" w:rsidR="00664AF8" w:rsidRPr="005A045A" w:rsidRDefault="00664AF8" w:rsidP="009C1F36">
            <w:pPr>
              <w:rPr>
                <w:b/>
                <w:bCs/>
              </w:rPr>
            </w:pPr>
            <w:r w:rsidRPr="005A045A">
              <w:rPr>
                <w:b/>
                <w:bCs/>
              </w:rPr>
              <w:t>Wordcount: 600</w:t>
            </w:r>
          </w:p>
          <w:p w14:paraId="1ABBA4A3" w14:textId="6E9DFEDA" w:rsidR="00664AF8" w:rsidRPr="00CC27B4" w:rsidRDefault="00664AF8" w:rsidP="009C1F36">
            <w:pPr>
              <w:rPr>
                <w:b/>
                <w:bCs/>
              </w:rPr>
            </w:pPr>
            <w:r w:rsidRPr="00CC27B4">
              <w:rPr>
                <w:b/>
                <w:bCs/>
              </w:rPr>
              <w:t>Institution</w:t>
            </w:r>
          </w:p>
          <w:p w14:paraId="717CB06B" w14:textId="5CD2267A" w:rsidR="00664AF8" w:rsidRDefault="00664AF8" w:rsidP="009C1F36">
            <w:r>
              <w:t>The University offers a wide range of provision across its departments (</w:t>
            </w:r>
            <w:r w:rsidRPr="001671DF">
              <w:t>Organisational Development and Culture</w:t>
            </w:r>
            <w:r>
              <w:t>, Research and Innovation Services, Library, Careers</w:t>
            </w:r>
            <w:r w:rsidRPr="00C72C73">
              <w:t>, Language Centre</w:t>
            </w:r>
            <w:r>
              <w:t xml:space="preserve">, academics with expertise) and external training (White Rose Doctoral Training Partnership, external experts). Training </w:t>
            </w:r>
            <w:r>
              <w:lastRenderedPageBreak/>
              <w:t xml:space="preserve">opportunities are included in a SharePoint calendar and available to all researchers. </w:t>
            </w:r>
            <w:r w:rsidRPr="00233555">
              <w:t>Bradford Fellowships</w:t>
            </w:r>
            <w:r>
              <w:t xml:space="preserve"> are available to all academic staff. </w:t>
            </w:r>
          </w:p>
          <w:p w14:paraId="0221AB65" w14:textId="3E660187" w:rsidR="00664AF8" w:rsidRDefault="00664AF8" w:rsidP="009C1F36">
            <w:r>
              <w:t xml:space="preserve">With the appointment of a new </w:t>
            </w:r>
            <w:r w:rsidRPr="004E3667">
              <w:t>Director of People</w:t>
            </w:r>
            <w:r>
              <w:t>,</w:t>
            </w:r>
            <w:r w:rsidRPr="004E3667">
              <w:t xml:space="preserve"> Culture and Wellbeing</w:t>
            </w:r>
            <w:r>
              <w:t xml:space="preserve">, there is expectation that the People Strategy will drive professional development. Work still needs to be done to ensure researchers engage in ten days of professional development, as per the Concordat. </w:t>
            </w:r>
          </w:p>
          <w:p w14:paraId="422EC2C3" w14:textId="0A8B2799" w:rsidR="00664AF8" w:rsidRPr="00AC1725" w:rsidRDefault="00664AF8" w:rsidP="009C1F36">
            <w:pPr>
              <w:rPr>
                <w:b/>
                <w:bCs/>
              </w:rPr>
            </w:pPr>
            <w:r w:rsidRPr="00CC27B4">
              <w:rPr>
                <w:b/>
                <w:bCs/>
              </w:rPr>
              <w:t>Academic Managers of Researchers</w:t>
            </w:r>
          </w:p>
          <w:p w14:paraId="70D01BCB" w14:textId="1B32A474" w:rsidR="00664AF8" w:rsidRDefault="00664AF8" w:rsidP="009C1F36">
            <w:r>
              <w:t xml:space="preserve">All managers’ training is bookable by staff. Guidance for managers and resources are available through SharePoint, MyView and Percipio – an </w:t>
            </w:r>
            <w:r w:rsidRPr="00D923C1">
              <w:t>AI-driven online learning platform supporting personal and professional skills development</w:t>
            </w:r>
            <w:r>
              <w:t xml:space="preserve">. Percipio contains a number of courses and reading materials on leadership, management, communication, and more. </w:t>
            </w:r>
          </w:p>
          <w:p w14:paraId="44F775C5" w14:textId="244A75DC" w:rsidR="00664AF8" w:rsidRDefault="00664AF8" w:rsidP="009C1F36">
            <w:r>
              <w:t xml:space="preserve">In 2023, </w:t>
            </w:r>
            <w:r w:rsidRPr="00D923C1">
              <w:t>New Manager Programme</w:t>
            </w:r>
            <w:r w:rsidRPr="00D923C1" w:rsidDel="00D923C1">
              <w:t xml:space="preserve"> </w:t>
            </w:r>
            <w:r>
              <w:t xml:space="preserve">has been launched and is being successfully delivered to the first cohort. </w:t>
            </w:r>
          </w:p>
          <w:p w14:paraId="0E0BB9E3" w14:textId="74DDF90C" w:rsidR="00664AF8" w:rsidRDefault="00664AF8" w:rsidP="009C1F36">
            <w:r>
              <w:t xml:space="preserve">Training and guidance on mental health and wellbeing is available on Percipio and SharePoint and delivered by </w:t>
            </w:r>
            <w:r w:rsidRPr="007E4284">
              <w:t>Organisational Development and Culture</w:t>
            </w:r>
            <w:r>
              <w:t xml:space="preserve">. </w:t>
            </w:r>
          </w:p>
          <w:p w14:paraId="1849D75E" w14:textId="133EF107" w:rsidR="00664AF8" w:rsidRDefault="00664AF8" w:rsidP="009C1F36">
            <w:r>
              <w:t xml:space="preserve">Core mentoring and coaching training is available through </w:t>
            </w:r>
            <w:r w:rsidRPr="007E4284">
              <w:t>Organisational Development and Culture</w:t>
            </w:r>
            <w:r>
              <w:t xml:space="preserve">. The team delivers bespoke sessions focusing on academic mentoring upon request – these are run </w:t>
            </w:r>
            <w:r w:rsidRPr="00E44544">
              <w:t>locally through each Faculty with support of developing mentoring skills</w:t>
            </w:r>
            <w:r>
              <w:t>.</w:t>
            </w:r>
          </w:p>
          <w:p w14:paraId="4C41EAB5" w14:textId="70B15CE7" w:rsidR="00664AF8" w:rsidRDefault="00664AF8" w:rsidP="009C1F36">
            <w:r w:rsidRPr="00E44544">
              <w:t>As part of the People Strategy</w:t>
            </w:r>
            <w:r>
              <w:t xml:space="preserve">’s workstream </w:t>
            </w:r>
            <w:r w:rsidRPr="00E44544">
              <w:t xml:space="preserve">on </w:t>
            </w:r>
            <w:r>
              <w:t>e</w:t>
            </w:r>
            <w:r w:rsidRPr="00E44544">
              <w:t>mbedding University values and behaviours</w:t>
            </w:r>
            <w:r>
              <w:t>,</w:t>
            </w:r>
            <w:r w:rsidRPr="00E44544">
              <w:t xml:space="preserve"> a </w:t>
            </w:r>
            <w:r>
              <w:t xml:space="preserve">new </w:t>
            </w:r>
            <w:r w:rsidRPr="00E44544">
              <w:t>training module has been</w:t>
            </w:r>
            <w:r>
              <w:t xml:space="preserve"> developed and delivered</w:t>
            </w:r>
            <w:r w:rsidRPr="00E44544">
              <w:t xml:space="preserve"> in 2023, </w:t>
            </w:r>
            <w:r>
              <w:t>and</w:t>
            </w:r>
            <w:r w:rsidRPr="00E44544">
              <w:t xml:space="preserve"> a managers</w:t>
            </w:r>
            <w:r>
              <w:t>’</w:t>
            </w:r>
            <w:r w:rsidRPr="00E44544">
              <w:t xml:space="preserve"> toolkit of resources and activities </w:t>
            </w:r>
            <w:r>
              <w:t>to</w:t>
            </w:r>
            <w:r w:rsidRPr="00E44544">
              <w:t xml:space="preserve"> deliver with teams</w:t>
            </w:r>
            <w:r>
              <w:t xml:space="preserve"> was developed</w:t>
            </w:r>
            <w:r w:rsidRPr="00E44544">
              <w:t>.</w:t>
            </w:r>
          </w:p>
          <w:p w14:paraId="5D0D0BF5" w14:textId="19CC4363" w:rsidR="00664AF8" w:rsidRDefault="00664AF8" w:rsidP="009C1F36">
            <w:r>
              <w:t xml:space="preserve">First Personal Research &amp; Innovation Plans (PRIPs) have been submitted in 2023 and used by Associate Deans for Research and Innovation for planning. </w:t>
            </w:r>
          </w:p>
          <w:p w14:paraId="66ADBE55" w14:textId="46A01EC9" w:rsidR="00664AF8" w:rsidRDefault="00664AF8" w:rsidP="009C1F36">
            <w:r>
              <w:t>The PDRs cycle is now established. PDRs embed d</w:t>
            </w:r>
            <w:r w:rsidRPr="00367C4D">
              <w:t>iscussion of the development needs, support required and career development aspirations of the reviewee</w:t>
            </w:r>
            <w:r>
              <w:t xml:space="preserve"> – to inform managers’ decisions on researchers’ training. </w:t>
            </w:r>
            <w:r w:rsidRPr="00A607C2">
              <w:t xml:space="preserve">PDRs </w:t>
            </w:r>
            <w:r>
              <w:t>are</w:t>
            </w:r>
            <w:r w:rsidRPr="00A607C2">
              <w:t xml:space="preserve"> submitted to HR Service Now </w:t>
            </w:r>
            <w:r>
              <w:t>up</w:t>
            </w:r>
            <w:r w:rsidRPr="00A607C2">
              <w:t xml:space="preserve">on completion. Completions are monitored and reported </w:t>
            </w:r>
            <w:r>
              <w:t>upon monthly</w:t>
            </w:r>
            <w:r w:rsidRPr="00A607C2">
              <w:t xml:space="preserve"> to Faculties/Directorates.</w:t>
            </w:r>
            <w:r>
              <w:t xml:space="preserve"> However, more work is required around potentially aligning PDRs with PRIPs. </w:t>
            </w:r>
          </w:p>
          <w:p w14:paraId="3E3C6139" w14:textId="65215EFB" w:rsidR="00664AF8" w:rsidRDefault="00664AF8" w:rsidP="009C1F36">
            <w:r>
              <w:lastRenderedPageBreak/>
              <w:t>Following a pilot of</w:t>
            </w:r>
            <w:r w:rsidRPr="000F539D">
              <w:t xml:space="preserve"> the Supervisor Recognition Scheme and the Associate Supervisor Recognition Scheme</w:t>
            </w:r>
            <w:r>
              <w:t xml:space="preserve">, completed by few academics, supervisor </w:t>
            </w:r>
            <w:r w:rsidRPr="000F539D">
              <w:t xml:space="preserve">training has been updated to align with the Good Supervisory Practice Framework. The first updated training </w:t>
            </w:r>
            <w:r>
              <w:t>was</w:t>
            </w:r>
            <w:r w:rsidRPr="000F539D">
              <w:t xml:space="preserve"> rolled out in November 2023</w:t>
            </w:r>
            <w:r>
              <w:t>.</w:t>
            </w:r>
          </w:p>
          <w:p w14:paraId="58224DD4" w14:textId="77777777" w:rsidR="00664AF8" w:rsidRPr="00CC27B4" w:rsidRDefault="00664AF8" w:rsidP="009C1F36">
            <w:pPr>
              <w:rPr>
                <w:b/>
                <w:bCs/>
              </w:rPr>
            </w:pPr>
            <w:r w:rsidRPr="00CC27B4">
              <w:rPr>
                <w:b/>
                <w:bCs/>
              </w:rPr>
              <w:t>Researchers</w:t>
            </w:r>
          </w:p>
          <w:p w14:paraId="601F17D1" w14:textId="0061AE7F" w:rsidR="00664AF8" w:rsidRDefault="00664AF8" w:rsidP="00866C6A">
            <w:pPr>
              <w:spacing w:before="240"/>
            </w:pPr>
            <w:r>
              <w:t xml:space="preserve">PDRs enable researchers to consider support required for their future career. However, more support is required to enable researchers to spend ten days per year on professional development. </w:t>
            </w:r>
          </w:p>
          <w:p w14:paraId="20350545" w14:textId="77777777" w:rsidR="00664AF8" w:rsidRDefault="00664AF8" w:rsidP="00866C6A">
            <w:pPr>
              <w:spacing w:before="240"/>
            </w:pPr>
            <w:r>
              <w:t>Work continues on developing a Study Leave/</w:t>
            </w:r>
            <w:r w:rsidRPr="00A23FB4">
              <w:t>Sabbatical Policy</w:t>
            </w:r>
            <w:r>
              <w:t xml:space="preserve"> – currently under review with HR. </w:t>
            </w:r>
          </w:p>
          <w:p w14:paraId="6EDF4B87" w14:textId="0B700594" w:rsidR="00664AF8" w:rsidRDefault="00664AF8" w:rsidP="00866C6A">
            <w:pPr>
              <w:spacing w:before="240"/>
            </w:pPr>
            <w:r>
              <w:t xml:space="preserve">PGR mentoring scheme has been piloted at the Faculty of Life Sciences – pending evaluation. </w:t>
            </w:r>
          </w:p>
          <w:p w14:paraId="35183930" w14:textId="328B3D7A" w:rsidR="00664AF8" w:rsidRDefault="00664AF8" w:rsidP="00923636">
            <w:r w:rsidRPr="35BF724A">
              <w:rPr>
                <w:lang w:eastAsia="en-GB"/>
              </w:rPr>
              <w:t xml:space="preserve">A SharePoint site with training provision has been launched outlining opportunities available to PGRs and research staff. All provision is mapped to Vitae’s </w:t>
            </w:r>
            <w:r>
              <w:rPr>
                <w:lang w:eastAsia="en-GB"/>
              </w:rPr>
              <w:t>RDF</w:t>
            </w:r>
            <w:r w:rsidRPr="35BF724A">
              <w:rPr>
                <w:lang w:eastAsia="en-GB"/>
              </w:rPr>
              <w:t xml:space="preserve">. </w:t>
            </w:r>
            <w:r>
              <w:t xml:space="preserve">PGR-focused training provision has been reviewed, and research staff induction training was opened to PGRs. Between January-October 2023, more than 70 workshops and events have been delivered to PGRs. </w:t>
            </w:r>
          </w:p>
          <w:p w14:paraId="11F58880" w14:textId="22C2344F" w:rsidR="00664AF8" w:rsidRDefault="00664AF8" w:rsidP="00923636">
            <w:r>
              <w:t xml:space="preserve">The </w:t>
            </w:r>
            <w:r w:rsidRPr="35BF724A">
              <w:rPr>
                <w:lang w:eastAsia="en-GB"/>
              </w:rPr>
              <w:t xml:space="preserve">PGR </w:t>
            </w:r>
            <w:r>
              <w:rPr>
                <w:lang w:eastAsia="en-GB"/>
              </w:rPr>
              <w:t>DNA</w:t>
            </w:r>
            <w:r w:rsidRPr="35BF724A">
              <w:rPr>
                <w:lang w:eastAsia="en-GB"/>
              </w:rPr>
              <w:t xml:space="preserve">, previously hosted on MyRDF, </w:t>
            </w:r>
            <w:r>
              <w:rPr>
                <w:lang w:eastAsia="en-GB"/>
              </w:rPr>
              <w:t>was</w:t>
            </w:r>
            <w:r w:rsidRPr="35BF724A">
              <w:rPr>
                <w:lang w:eastAsia="en-GB"/>
              </w:rPr>
              <w:t xml:space="preserve"> </w:t>
            </w:r>
            <w:r>
              <w:rPr>
                <w:lang w:eastAsia="en-GB"/>
              </w:rPr>
              <w:t>reviewed</w:t>
            </w:r>
            <w:r w:rsidRPr="35BF724A">
              <w:rPr>
                <w:lang w:eastAsia="en-GB"/>
              </w:rPr>
              <w:t xml:space="preserve"> and moved to PebblePad. Upon successful pilot</w:t>
            </w:r>
            <w:r>
              <w:rPr>
                <w:lang w:eastAsia="en-GB"/>
              </w:rPr>
              <w:t xml:space="preserve"> (currently ongoing)</w:t>
            </w:r>
            <w:r w:rsidRPr="35BF724A">
              <w:rPr>
                <w:lang w:eastAsia="en-GB"/>
              </w:rPr>
              <w:t>,</w:t>
            </w:r>
            <w:r>
              <w:rPr>
                <w:lang w:eastAsia="en-GB"/>
              </w:rPr>
              <w:t xml:space="preserve"> the platform will be used to host</w:t>
            </w:r>
            <w:r w:rsidRPr="35BF724A">
              <w:rPr>
                <w:lang w:eastAsia="en-GB"/>
              </w:rPr>
              <w:t xml:space="preserve"> PDRs. </w:t>
            </w:r>
          </w:p>
          <w:p w14:paraId="497CD1F5" w14:textId="0CDD61BA" w:rsidR="00664AF8" w:rsidRDefault="00664AF8" w:rsidP="009C1F36">
            <w:r w:rsidRPr="00623423">
              <w:t xml:space="preserve">Career and Employability Services </w:t>
            </w:r>
            <w:r>
              <w:t>training</w:t>
            </w:r>
            <w:r w:rsidRPr="00623423">
              <w:t>, formerly delivered to PGR</w:t>
            </w:r>
            <w:r>
              <w:t>s</w:t>
            </w:r>
            <w:r w:rsidRPr="00623423">
              <w:t xml:space="preserve"> </w:t>
            </w:r>
            <w:r>
              <w:t xml:space="preserve">has been opened to members of staff. Work is launched on developing Narrative CV training and incorporating information about a wide range of careers available to researchers in the provision. </w:t>
            </w:r>
          </w:p>
          <w:p w14:paraId="73D7DCAC" w14:textId="6C141949" w:rsidR="00664AF8" w:rsidRDefault="00664AF8" w:rsidP="009C1F36">
            <w:r w:rsidRPr="007D3147">
              <w:t xml:space="preserve">The Library has extended training provision to incorporate </w:t>
            </w:r>
            <w:r w:rsidRPr="009679CB">
              <w:t>advanced literature searching</w:t>
            </w:r>
            <w:r w:rsidRPr="007D3147">
              <w:t xml:space="preserve"> and continues work on rights retention policy and subject-specific support.</w:t>
            </w:r>
            <w:r>
              <w:t xml:space="preserve"> </w:t>
            </w:r>
          </w:p>
          <w:p w14:paraId="7DBAAA28" w14:textId="5F9FA4D7" w:rsidR="00664AF8" w:rsidRDefault="00664AF8" w:rsidP="008F1F8E">
            <w:pPr>
              <w:spacing w:before="240"/>
            </w:pPr>
            <w:r>
              <w:t xml:space="preserve">Percipio offers a wide range of courses to all staff. Percipio Learner of the month is announced monthly to celebrate achievements.  </w:t>
            </w:r>
          </w:p>
        </w:tc>
      </w:tr>
      <w:tr w:rsidR="00E1066D" w14:paraId="00BD38AE" w14:textId="77777777" w:rsidTr="4536CEF9">
        <w:trPr>
          <w:trHeight w:val="318"/>
        </w:trPr>
        <w:tc>
          <w:tcPr>
            <w:tcW w:w="8268" w:type="dxa"/>
          </w:tcPr>
          <w:p w14:paraId="1E92CC88" w14:textId="3AB642D2" w:rsidR="002A2D97" w:rsidRPr="002A2D97" w:rsidRDefault="00F313AD" w:rsidP="009727D9">
            <w:pPr>
              <w:rPr>
                <w:b/>
                <w:bCs/>
              </w:rPr>
            </w:pPr>
            <w:r>
              <w:rPr>
                <w:b/>
                <w:bCs/>
              </w:rPr>
              <w:lastRenderedPageBreak/>
              <w:t>C</w:t>
            </w:r>
            <w:r w:rsidR="005578B1">
              <w:rPr>
                <w:b/>
                <w:bCs/>
              </w:rPr>
              <w:t xml:space="preserve">omment on any lessons learned from the activities </w:t>
            </w:r>
            <w:r w:rsidR="00B20575">
              <w:rPr>
                <w:b/>
                <w:bCs/>
              </w:rPr>
              <w:t xml:space="preserve">undertaken </w:t>
            </w:r>
            <w:r w:rsidR="005578B1">
              <w:rPr>
                <w:b/>
                <w:bCs/>
              </w:rPr>
              <w:t xml:space="preserve">over this period and any modifications you propose to make to your action plan </w:t>
            </w:r>
            <w:r>
              <w:rPr>
                <w:b/>
                <w:bCs/>
              </w:rPr>
              <w:t xml:space="preserve">and measures of success </w:t>
            </w:r>
            <w:r w:rsidR="005578B1">
              <w:rPr>
                <w:b/>
                <w:bCs/>
              </w:rPr>
              <w:t xml:space="preserve">as a result. </w:t>
            </w:r>
            <w:r w:rsidR="00D36035">
              <w:rPr>
                <w:b/>
                <w:bCs/>
                <w:i/>
                <w:iCs/>
              </w:rPr>
              <w:t>(</w:t>
            </w:r>
            <w:r w:rsidR="00911C2C">
              <w:rPr>
                <w:b/>
                <w:bCs/>
                <w:i/>
                <w:iCs/>
              </w:rPr>
              <w:t xml:space="preserve">max </w:t>
            </w:r>
            <w:r w:rsidR="00D36035">
              <w:rPr>
                <w:b/>
                <w:bCs/>
                <w:i/>
                <w:iCs/>
              </w:rPr>
              <w:t>500 words)</w:t>
            </w:r>
            <w:r w:rsidR="005578B1">
              <w:rPr>
                <w:b/>
                <w:bCs/>
              </w:rPr>
              <w:t xml:space="preserve"> </w:t>
            </w:r>
          </w:p>
        </w:tc>
      </w:tr>
      <w:tr w:rsidR="00EE4921" w14:paraId="43018986" w14:textId="77777777" w:rsidTr="4536CEF9">
        <w:trPr>
          <w:trHeight w:val="67"/>
        </w:trPr>
        <w:tc>
          <w:tcPr>
            <w:tcW w:w="8268" w:type="dxa"/>
          </w:tcPr>
          <w:p w14:paraId="1B62D807" w14:textId="4618B541" w:rsidR="0081106D" w:rsidRPr="0081106D" w:rsidRDefault="0081106D" w:rsidP="00FE4FCC">
            <w:pPr>
              <w:rPr>
                <w:b/>
                <w:bCs/>
              </w:rPr>
            </w:pPr>
            <w:r w:rsidRPr="0081106D">
              <w:rPr>
                <w:b/>
                <w:bCs/>
              </w:rPr>
              <w:lastRenderedPageBreak/>
              <w:t xml:space="preserve">Wordcount: </w:t>
            </w:r>
            <w:r w:rsidR="00D7797D">
              <w:rPr>
                <w:b/>
                <w:bCs/>
              </w:rPr>
              <w:t>2</w:t>
            </w:r>
            <w:r w:rsidR="00B278F3">
              <w:rPr>
                <w:b/>
                <w:bCs/>
              </w:rPr>
              <w:t>80</w:t>
            </w:r>
          </w:p>
          <w:p w14:paraId="172A978F" w14:textId="2D406B58" w:rsidR="0013421D" w:rsidRDefault="00A015F9" w:rsidP="00FE4FCC">
            <w:r w:rsidRPr="00A015F9">
              <w:t xml:space="preserve">Workload has been the key barrier </w:t>
            </w:r>
            <w:r>
              <w:t>for engagement</w:t>
            </w:r>
            <w:r w:rsidR="0016562C">
              <w:t xml:space="preserve"> across all cohorts of researchers and managers of researchers</w:t>
            </w:r>
            <w:r>
              <w:t>.</w:t>
            </w:r>
            <w:r w:rsidR="0016562C">
              <w:t xml:space="preserve"> </w:t>
            </w:r>
            <w:r w:rsidR="00F55727">
              <w:t xml:space="preserve">Bradford Academic </w:t>
            </w:r>
            <w:r w:rsidR="006B56F7">
              <w:t>remains a</w:t>
            </w:r>
            <w:r w:rsidR="00F55727">
              <w:t xml:space="preserve"> crucial</w:t>
            </w:r>
            <w:r w:rsidR="006B56F7">
              <w:t xml:space="preserve"> work strand</w:t>
            </w:r>
            <w:r w:rsidR="00F55727">
              <w:t xml:space="preserve"> </w:t>
            </w:r>
            <w:r w:rsidR="006B56F7">
              <w:t>to</w:t>
            </w:r>
            <w:r w:rsidR="00F55727">
              <w:t xml:space="preserve"> ensuring clarity around </w:t>
            </w:r>
            <w:r w:rsidR="0013421D">
              <w:t xml:space="preserve">requirements for </w:t>
            </w:r>
            <w:r w:rsidR="006B56F7">
              <w:t xml:space="preserve">promotion </w:t>
            </w:r>
            <w:r w:rsidR="0013421D">
              <w:t>and informing training provision to enable researchers to progress</w:t>
            </w:r>
            <w:r w:rsidR="006B56F7">
              <w:t xml:space="preserve"> in their careers</w:t>
            </w:r>
            <w:r w:rsidR="0013421D">
              <w:t>.</w:t>
            </w:r>
            <w:r w:rsidR="006B56F7">
              <w:t xml:space="preserve"> </w:t>
            </w:r>
          </w:p>
          <w:p w14:paraId="1AE758DE" w14:textId="5729B407" w:rsidR="003A1BA6" w:rsidRDefault="003A1BA6" w:rsidP="00FE4FCC">
            <w:r>
              <w:t>Most successful</w:t>
            </w:r>
            <w:r w:rsidR="001561BF">
              <w:t xml:space="preserve"> in terms of engagement research culture</w:t>
            </w:r>
            <w:r>
              <w:t xml:space="preserve"> initiatives </w:t>
            </w:r>
            <w:r w:rsidR="001561BF">
              <w:t>tend</w:t>
            </w:r>
            <w:r>
              <w:t xml:space="preserve"> </w:t>
            </w:r>
            <w:r w:rsidR="001561BF">
              <w:t xml:space="preserve">to be those that </w:t>
            </w:r>
            <w:r w:rsidR="003B3D52">
              <w:t xml:space="preserve">are co-created with </w:t>
            </w:r>
            <w:r>
              <w:t>researchers</w:t>
            </w:r>
            <w:r w:rsidR="003B3D52">
              <w:t xml:space="preserve"> – either </w:t>
            </w:r>
            <w:r w:rsidR="00CC42CE">
              <w:t xml:space="preserve">stemming from </w:t>
            </w:r>
            <w:r w:rsidR="003B3D52">
              <w:t xml:space="preserve">their feedback or </w:t>
            </w:r>
            <w:r w:rsidR="00CC42CE">
              <w:t>being a product</w:t>
            </w:r>
            <w:r w:rsidR="003B3D52">
              <w:t xml:space="preserve"> of collaboration</w:t>
            </w:r>
            <w:r>
              <w:t xml:space="preserve">. The growing focus within the institution </w:t>
            </w:r>
            <w:r w:rsidR="003B3D52">
              <w:t>is</w:t>
            </w:r>
            <w:r>
              <w:t xml:space="preserve"> to engage researchers into </w:t>
            </w:r>
            <w:r w:rsidR="003B3D52">
              <w:t>shaping the opportunities for themselves and</w:t>
            </w:r>
            <w:r>
              <w:t xml:space="preserve"> their peers.</w:t>
            </w:r>
            <w:r w:rsidR="002A2EFF">
              <w:t xml:space="preserve"> Empowering managers to make a positive change in their work environment is another crucial element of this</w:t>
            </w:r>
            <w:r w:rsidR="00CC42CE">
              <w:t xml:space="preserve"> work</w:t>
            </w:r>
            <w:r w:rsidR="00895424">
              <w:t>, which needs to be operationalised</w:t>
            </w:r>
            <w:r w:rsidR="00CC42CE">
              <w:t>.</w:t>
            </w:r>
          </w:p>
          <w:p w14:paraId="2FA247AE" w14:textId="3CF25D46" w:rsidR="0014053F" w:rsidRDefault="00671DE6" w:rsidP="00FE4FCC">
            <w:r>
              <w:t xml:space="preserve">While there is remit </w:t>
            </w:r>
            <w:r w:rsidR="003D1D50">
              <w:t>in</w:t>
            </w:r>
            <w:r>
              <w:t xml:space="preserve"> identify</w:t>
            </w:r>
            <w:r w:rsidR="003D1D50">
              <w:t>ing</w:t>
            </w:r>
            <w:r>
              <w:t xml:space="preserve"> core competences required at certain career stages and training provision that can cater for that, </w:t>
            </w:r>
            <w:r w:rsidR="00E30FA5">
              <w:t>transition between roles and/or sectors</w:t>
            </w:r>
            <w:r>
              <w:t xml:space="preserve"> </w:t>
            </w:r>
            <w:r w:rsidR="00CA3354">
              <w:t>requires a more tailored support</w:t>
            </w:r>
            <w:r w:rsidR="00CC763B">
              <w:t xml:space="preserve">, </w:t>
            </w:r>
            <w:r w:rsidR="0098046E">
              <w:t>for example, via</w:t>
            </w:r>
            <w:r w:rsidR="00CA3354">
              <w:t xml:space="preserve"> </w:t>
            </w:r>
            <w:r w:rsidR="00CC763B">
              <w:t>m</w:t>
            </w:r>
            <w:r w:rsidR="00250BEF">
              <w:t xml:space="preserve">entoring </w:t>
            </w:r>
            <w:r w:rsidR="00CC763B">
              <w:t>or</w:t>
            </w:r>
            <w:r w:rsidR="00250BEF">
              <w:t xml:space="preserve"> coaching</w:t>
            </w:r>
            <w:r w:rsidR="00CC763B">
              <w:t xml:space="preserve">. </w:t>
            </w:r>
            <w:r w:rsidR="00D20A9D">
              <w:t>Meanwhile</w:t>
            </w:r>
            <w:r w:rsidR="00CC763B">
              <w:t>, mentoring and coaching</w:t>
            </w:r>
            <w:r w:rsidR="00250BEF">
              <w:t xml:space="preserve"> are</w:t>
            </w:r>
            <w:r w:rsidR="00895424">
              <w:t xml:space="preserve"> extremely</w:t>
            </w:r>
            <w:r w:rsidR="00250BEF">
              <w:t xml:space="preserve"> resource-intens</w:t>
            </w:r>
            <w:r w:rsidR="00CC763B">
              <w:t>e</w:t>
            </w:r>
            <w:r w:rsidR="00306A0B">
              <w:t xml:space="preserve">, </w:t>
            </w:r>
            <w:r w:rsidR="00895424">
              <w:t xml:space="preserve">particularly in the context of </w:t>
            </w:r>
            <w:r w:rsidR="00881A8B">
              <w:t>workload and availability of funding for such schemes</w:t>
            </w:r>
            <w:r w:rsidR="00306A0B">
              <w:t xml:space="preserve">. </w:t>
            </w:r>
          </w:p>
          <w:p w14:paraId="2DAC3802" w14:textId="46FD486C" w:rsidR="00FC439A" w:rsidRDefault="0086163E" w:rsidP="00FC439A">
            <w:r>
              <w:t xml:space="preserve">Researchers’ feedback remains the key measure of success. </w:t>
            </w:r>
            <w:r w:rsidR="0014053F">
              <w:t xml:space="preserve">Work continues on </w:t>
            </w:r>
            <w:r w:rsidR="003A1BA6">
              <w:t xml:space="preserve">aligning </w:t>
            </w:r>
            <w:r w:rsidR="001F5AA0">
              <w:t xml:space="preserve">survey cycles and questionnaires to avoid survey fatigue and to ensure continuous monitoring. </w:t>
            </w:r>
          </w:p>
          <w:p w14:paraId="67806076" w14:textId="5040B5C1" w:rsidR="0097078A" w:rsidRPr="00A015F9" w:rsidRDefault="00D43624" w:rsidP="00FE4FCC">
            <w:r>
              <w:t xml:space="preserve">PDRs </w:t>
            </w:r>
            <w:r w:rsidR="0016562C">
              <w:t xml:space="preserve">proved to be a helpful instrument to incorporate professional development and career discussions into annual </w:t>
            </w:r>
            <w:r w:rsidR="001F5AA0">
              <w:t xml:space="preserve">review </w:t>
            </w:r>
            <w:r w:rsidR="0016562C">
              <w:t xml:space="preserve">cycle. </w:t>
            </w:r>
            <w:r w:rsidR="00C27793" w:rsidRPr="00C27793">
              <w:t>Once PDRs are submitted to HR Service Now</w:t>
            </w:r>
            <w:r w:rsidR="00C27793">
              <w:t>,</w:t>
            </w:r>
            <w:r w:rsidR="00C27793" w:rsidRPr="00C27793">
              <w:t xml:space="preserve"> an automated evaluation email is sent to the reviewee to evaluate the quality of the conversation and measure if it has been of value and supportive in discussing work priorities/objectives, development needs and career aspirations</w:t>
            </w:r>
            <w:r w:rsidR="007C0E18">
              <w:t>.</w:t>
            </w:r>
            <w:r w:rsidR="00C27793" w:rsidRPr="00C27793">
              <w:t xml:space="preserve"> </w:t>
            </w:r>
            <w:r w:rsidR="00633288">
              <w:t xml:space="preserve">Work will continue on elaborating this tool both as a way to </w:t>
            </w:r>
            <w:r w:rsidR="000C6480">
              <w:t xml:space="preserve">identify needs of researchers and their managers and </w:t>
            </w:r>
            <w:r w:rsidR="00633288">
              <w:t>measure the</w:t>
            </w:r>
            <w:r w:rsidR="00023AB3">
              <w:t>ir</w:t>
            </w:r>
            <w:r w:rsidR="00633288">
              <w:t xml:space="preserve"> progress</w:t>
            </w:r>
            <w:r w:rsidR="000C6480">
              <w:t xml:space="preserve">. </w:t>
            </w:r>
          </w:p>
        </w:tc>
      </w:tr>
      <w:tr w:rsidR="00E1066D" w14:paraId="49C92F89" w14:textId="77777777" w:rsidTr="4536CEF9">
        <w:trPr>
          <w:trHeight w:val="987"/>
        </w:trPr>
        <w:tc>
          <w:tcPr>
            <w:tcW w:w="8268" w:type="dxa"/>
          </w:tcPr>
          <w:p w14:paraId="45605C74" w14:textId="77777777" w:rsidR="00D36035" w:rsidRDefault="00985D2E" w:rsidP="00D36035">
            <w:pPr>
              <w:spacing w:after="0"/>
              <w:rPr>
                <w:b/>
                <w:bCs/>
              </w:rPr>
            </w:pPr>
            <w:r>
              <w:rPr>
                <w:b/>
                <w:bCs/>
              </w:rPr>
              <w:t>Outline your key objectives in delivering your plan in the coming reporting period</w:t>
            </w:r>
          </w:p>
          <w:p w14:paraId="615660B7" w14:textId="76329BDB" w:rsidR="00D36035" w:rsidRPr="00D36035" w:rsidRDefault="00D36035" w:rsidP="00D36035">
            <w:pPr>
              <w:spacing w:after="120"/>
              <w:rPr>
                <w:b/>
                <w:bCs/>
                <w:i/>
                <w:iCs/>
              </w:rPr>
            </w:pPr>
            <w:r>
              <w:rPr>
                <w:b/>
                <w:bCs/>
                <w:i/>
                <w:iCs/>
              </w:rPr>
              <w:t>(</w:t>
            </w:r>
            <w:r w:rsidR="00911C2C">
              <w:rPr>
                <w:b/>
                <w:bCs/>
                <w:i/>
                <w:iCs/>
              </w:rPr>
              <w:t xml:space="preserve">max </w:t>
            </w:r>
            <w:r>
              <w:rPr>
                <w:b/>
                <w:bCs/>
                <w:i/>
                <w:iCs/>
              </w:rPr>
              <w:t>500 words)</w:t>
            </w:r>
          </w:p>
        </w:tc>
      </w:tr>
      <w:tr w:rsidR="00936C2A" w14:paraId="12B518A7" w14:textId="77777777" w:rsidTr="4536CEF9">
        <w:trPr>
          <w:trHeight w:val="60"/>
        </w:trPr>
        <w:tc>
          <w:tcPr>
            <w:tcW w:w="8268" w:type="dxa"/>
          </w:tcPr>
          <w:p w14:paraId="1EB6FD3F" w14:textId="46DBA61C" w:rsidR="00D7797D" w:rsidRPr="0081106D" w:rsidRDefault="00D7797D" w:rsidP="00D7797D">
            <w:pPr>
              <w:rPr>
                <w:b/>
                <w:bCs/>
              </w:rPr>
            </w:pPr>
            <w:r w:rsidRPr="0081106D">
              <w:rPr>
                <w:b/>
                <w:bCs/>
              </w:rPr>
              <w:t xml:space="preserve">Wordcount: </w:t>
            </w:r>
            <w:r w:rsidR="00AC3C9F">
              <w:rPr>
                <w:b/>
                <w:bCs/>
              </w:rPr>
              <w:t>499</w:t>
            </w:r>
          </w:p>
          <w:p w14:paraId="45F97617" w14:textId="3DB9D93D" w:rsidR="0039486C" w:rsidRDefault="00037D08" w:rsidP="0049479E">
            <w:r>
              <w:rPr>
                <w:lang w:eastAsia="en-GB"/>
              </w:rPr>
              <w:t>Policy development and review work will continue</w:t>
            </w:r>
            <w:r w:rsidR="00A74B85">
              <w:rPr>
                <w:lang w:eastAsia="en-GB"/>
              </w:rPr>
              <w:t xml:space="preserve"> to ensure compliance with the </w:t>
            </w:r>
            <w:r w:rsidR="00BD1F63">
              <w:rPr>
                <w:lang w:eastAsia="en-GB"/>
              </w:rPr>
              <w:t xml:space="preserve">wider </w:t>
            </w:r>
            <w:r w:rsidR="00A74B85">
              <w:rPr>
                <w:lang w:eastAsia="en-GB"/>
              </w:rPr>
              <w:t>sector</w:t>
            </w:r>
            <w:r w:rsidR="00BD1F63">
              <w:rPr>
                <w:lang w:eastAsia="en-GB"/>
              </w:rPr>
              <w:t xml:space="preserve"> and regulations</w:t>
            </w:r>
            <w:r>
              <w:rPr>
                <w:lang w:eastAsia="en-GB"/>
              </w:rPr>
              <w:t xml:space="preserve">. </w:t>
            </w:r>
            <w:r w:rsidR="001B5069">
              <w:rPr>
                <w:lang w:eastAsia="en-GB"/>
              </w:rPr>
              <w:t>Policies will be mapped, with relevant information made available to researchers via SharePoint</w:t>
            </w:r>
            <w:r w:rsidR="00BD1F63">
              <w:rPr>
                <w:lang w:eastAsia="en-GB"/>
              </w:rPr>
              <w:t xml:space="preserve"> – to ensure expectations of the University and researchers are clear to all parties. </w:t>
            </w:r>
          </w:p>
          <w:p w14:paraId="6E18BDD2" w14:textId="3152A1D9" w:rsidR="000F1298" w:rsidRDefault="002701A3" w:rsidP="000F1298">
            <w:pPr>
              <w:rPr>
                <w:lang w:eastAsia="en-GB"/>
              </w:rPr>
            </w:pPr>
            <w:r w:rsidRPr="007A5FD9">
              <w:rPr>
                <w:lang w:eastAsia="en-GB"/>
              </w:rPr>
              <w:lastRenderedPageBreak/>
              <w:t xml:space="preserve">Bradford </w:t>
            </w:r>
            <w:r>
              <w:rPr>
                <w:lang w:eastAsia="en-GB"/>
              </w:rPr>
              <w:t>A</w:t>
            </w:r>
            <w:r w:rsidRPr="007A5FD9">
              <w:rPr>
                <w:lang w:eastAsia="en-GB"/>
              </w:rPr>
              <w:t xml:space="preserve">cademic </w:t>
            </w:r>
            <w:r w:rsidR="0045554E">
              <w:rPr>
                <w:lang w:eastAsia="en-GB"/>
              </w:rPr>
              <w:t xml:space="preserve">work will continue to </w:t>
            </w:r>
            <w:r w:rsidRPr="007A5FD9">
              <w:rPr>
                <w:lang w:eastAsia="en-GB"/>
              </w:rPr>
              <w:t>identify</w:t>
            </w:r>
            <w:r>
              <w:rPr>
                <w:lang w:eastAsia="en-GB"/>
              </w:rPr>
              <w:t xml:space="preserve"> competencies required at </w:t>
            </w:r>
            <w:r w:rsidRPr="007A5FD9">
              <w:rPr>
                <w:lang w:eastAsia="en-GB"/>
              </w:rPr>
              <w:t>different</w:t>
            </w:r>
            <w:r>
              <w:rPr>
                <w:lang w:eastAsia="en-GB"/>
              </w:rPr>
              <w:t xml:space="preserve"> stages of </w:t>
            </w:r>
            <w:r w:rsidR="00023AB3">
              <w:rPr>
                <w:lang w:eastAsia="en-GB"/>
              </w:rPr>
              <w:t xml:space="preserve">a </w:t>
            </w:r>
            <w:r>
              <w:rPr>
                <w:lang w:eastAsia="en-GB"/>
              </w:rPr>
              <w:t xml:space="preserve">research career </w:t>
            </w:r>
            <w:r w:rsidR="00810A10">
              <w:rPr>
                <w:lang w:eastAsia="en-GB"/>
              </w:rPr>
              <w:t>– to clearly articulate requirements for promotion and reward</w:t>
            </w:r>
            <w:r w:rsidR="00FA74B8">
              <w:rPr>
                <w:lang w:eastAsia="en-GB"/>
              </w:rPr>
              <w:t xml:space="preserve">. These will be communicated to researchers to increase transparency around these processes. </w:t>
            </w:r>
            <w:r w:rsidR="005974BF">
              <w:rPr>
                <w:lang w:eastAsia="en-GB"/>
              </w:rPr>
              <w:t xml:space="preserve">Similar work will be carried </w:t>
            </w:r>
            <w:r w:rsidR="00023AB3">
              <w:rPr>
                <w:lang w:eastAsia="en-GB"/>
              </w:rPr>
              <w:t xml:space="preserve">out </w:t>
            </w:r>
            <w:r w:rsidR="005974BF">
              <w:rPr>
                <w:lang w:eastAsia="en-GB"/>
              </w:rPr>
              <w:t xml:space="preserve">for PGRs to identify key stages in their research journey and support required. </w:t>
            </w:r>
            <w:r w:rsidR="008B255F">
              <w:rPr>
                <w:lang w:eastAsia="en-GB"/>
              </w:rPr>
              <w:t xml:space="preserve">In 2024, a review of existing grade 9-11/12 as well as new 8 Grade Gateways &amp; Evidence, plus assessment model (scoring matrix) and existing career matrix is scheduled. This will include consultation with the University’s </w:t>
            </w:r>
            <w:r w:rsidR="00953B25">
              <w:rPr>
                <w:lang w:eastAsia="en-GB"/>
              </w:rPr>
              <w:t>researchers</w:t>
            </w:r>
            <w:r w:rsidR="008B255F">
              <w:rPr>
                <w:lang w:eastAsia="en-GB"/>
              </w:rPr>
              <w:t>.</w:t>
            </w:r>
            <w:r w:rsidR="00D4141C">
              <w:rPr>
                <w:lang w:eastAsia="en-GB"/>
              </w:rPr>
              <w:t xml:space="preserve"> </w:t>
            </w:r>
            <w:r w:rsidR="00217C90">
              <w:rPr>
                <w:lang w:eastAsia="en-GB"/>
              </w:rPr>
              <w:t>HR</w:t>
            </w:r>
            <w:r w:rsidR="000F1298">
              <w:rPr>
                <w:lang w:eastAsia="en-GB"/>
              </w:rPr>
              <w:t xml:space="preserve"> Process and Procedure review will take place with an aim to improve on promotion dashboards, professorial assessment process, </w:t>
            </w:r>
            <w:r w:rsidR="00D4141C">
              <w:rPr>
                <w:lang w:eastAsia="en-GB"/>
              </w:rPr>
              <w:t>and more</w:t>
            </w:r>
            <w:r w:rsidR="000F1298">
              <w:rPr>
                <w:lang w:eastAsia="en-GB"/>
              </w:rPr>
              <w:t>.</w:t>
            </w:r>
          </w:p>
          <w:p w14:paraId="137A2258" w14:textId="0C704633" w:rsidR="008A2DC8" w:rsidRDefault="00A53F96" w:rsidP="002701A3">
            <w:pPr>
              <w:rPr>
                <w:lang w:eastAsia="en-GB"/>
              </w:rPr>
            </w:pPr>
            <w:r>
              <w:rPr>
                <w:lang w:eastAsia="en-GB"/>
              </w:rPr>
              <w:t>A</w:t>
            </w:r>
            <w:r w:rsidRPr="00587BCF">
              <w:rPr>
                <w:lang w:eastAsia="en-GB"/>
              </w:rPr>
              <w:t xml:space="preserve"> suite of training </w:t>
            </w:r>
            <w:r w:rsidR="00836D18">
              <w:rPr>
                <w:lang w:eastAsia="en-GB"/>
              </w:rPr>
              <w:t xml:space="preserve">will be developed for </w:t>
            </w:r>
            <w:r w:rsidRPr="00587BCF">
              <w:rPr>
                <w:lang w:eastAsia="en-GB"/>
              </w:rPr>
              <w:t>researchers</w:t>
            </w:r>
            <w:r w:rsidR="00836D18">
              <w:rPr>
                <w:lang w:eastAsia="en-GB"/>
              </w:rPr>
              <w:t xml:space="preserve"> to be mapped to</w:t>
            </w:r>
            <w:r w:rsidRPr="00587BCF">
              <w:rPr>
                <w:lang w:eastAsia="en-GB"/>
              </w:rPr>
              <w:t xml:space="preserve"> various stages of</w:t>
            </w:r>
            <w:r w:rsidR="00836D18">
              <w:rPr>
                <w:lang w:eastAsia="en-GB"/>
              </w:rPr>
              <w:t xml:space="preserve"> </w:t>
            </w:r>
            <w:r w:rsidRPr="00587BCF">
              <w:rPr>
                <w:lang w:eastAsia="en-GB"/>
              </w:rPr>
              <w:t>research journey.</w:t>
            </w:r>
            <w:r w:rsidR="00DA717A">
              <w:rPr>
                <w:lang w:eastAsia="en-GB"/>
              </w:rPr>
              <w:t xml:space="preserve"> This suite will </w:t>
            </w:r>
            <w:r w:rsidR="009D2726">
              <w:rPr>
                <w:lang w:eastAsia="en-GB"/>
              </w:rPr>
              <w:t xml:space="preserve">include two key elements: training on </w:t>
            </w:r>
            <w:r w:rsidR="00DA717A">
              <w:rPr>
                <w:lang w:eastAsia="en-GB"/>
              </w:rPr>
              <w:t xml:space="preserve">essential, or core competences </w:t>
            </w:r>
            <w:r w:rsidR="00ED31DA">
              <w:rPr>
                <w:lang w:eastAsia="en-GB"/>
              </w:rPr>
              <w:t>(for example, teaching, research</w:t>
            </w:r>
            <w:r w:rsidR="00182484">
              <w:rPr>
                <w:lang w:eastAsia="en-GB"/>
              </w:rPr>
              <w:t xml:space="preserve"> – aligned with selected career pathway</w:t>
            </w:r>
            <w:r w:rsidR="00ED31DA">
              <w:rPr>
                <w:lang w:eastAsia="en-GB"/>
              </w:rPr>
              <w:t>)</w:t>
            </w:r>
            <w:r w:rsidR="009D2726">
              <w:rPr>
                <w:lang w:eastAsia="en-GB"/>
              </w:rPr>
              <w:t>,</w:t>
            </w:r>
            <w:r w:rsidR="00DA717A">
              <w:rPr>
                <w:lang w:eastAsia="en-GB"/>
              </w:rPr>
              <w:t xml:space="preserve"> and </w:t>
            </w:r>
            <w:r w:rsidR="009D2726">
              <w:rPr>
                <w:lang w:eastAsia="en-GB"/>
              </w:rPr>
              <w:t xml:space="preserve">training on </w:t>
            </w:r>
            <w:r w:rsidR="00ED31DA">
              <w:rPr>
                <w:lang w:eastAsia="en-GB"/>
              </w:rPr>
              <w:t>additional, or preferred competences (</w:t>
            </w:r>
            <w:r w:rsidR="001330C9">
              <w:rPr>
                <w:lang w:eastAsia="en-GB"/>
              </w:rPr>
              <w:t>knowledge exchange</w:t>
            </w:r>
            <w:r w:rsidR="00ED31DA">
              <w:rPr>
                <w:lang w:eastAsia="en-GB"/>
              </w:rPr>
              <w:t xml:space="preserve">, </w:t>
            </w:r>
            <w:r w:rsidR="001330C9">
              <w:rPr>
                <w:lang w:eastAsia="en-GB"/>
              </w:rPr>
              <w:t>business and community</w:t>
            </w:r>
            <w:r w:rsidR="00ED31DA">
              <w:rPr>
                <w:lang w:eastAsia="en-GB"/>
              </w:rPr>
              <w:t>, etc.)</w:t>
            </w:r>
            <w:r w:rsidR="00064FED">
              <w:rPr>
                <w:lang w:eastAsia="en-GB"/>
              </w:rPr>
              <w:t>. All t</w:t>
            </w:r>
            <w:r w:rsidR="00926A6E">
              <w:rPr>
                <w:lang w:eastAsia="en-GB"/>
              </w:rPr>
              <w:t xml:space="preserve">raining </w:t>
            </w:r>
            <w:r w:rsidR="00064FED">
              <w:rPr>
                <w:lang w:eastAsia="en-GB"/>
              </w:rPr>
              <w:t xml:space="preserve">is </w:t>
            </w:r>
            <w:r w:rsidR="00926A6E">
              <w:rPr>
                <w:lang w:eastAsia="en-GB"/>
              </w:rPr>
              <w:t>to be aligned with Vitae’s R</w:t>
            </w:r>
            <w:r w:rsidR="00023AB3">
              <w:rPr>
                <w:lang w:eastAsia="en-GB"/>
              </w:rPr>
              <w:t>D</w:t>
            </w:r>
            <w:r w:rsidR="00926A6E">
              <w:rPr>
                <w:lang w:eastAsia="en-GB"/>
              </w:rPr>
              <w:t>F</w:t>
            </w:r>
            <w:r w:rsidR="00347BF0">
              <w:rPr>
                <w:lang w:eastAsia="en-GB"/>
              </w:rPr>
              <w:t xml:space="preserve"> </w:t>
            </w:r>
            <w:r w:rsidR="00926A6E">
              <w:rPr>
                <w:lang w:eastAsia="en-GB"/>
              </w:rPr>
              <w:t xml:space="preserve">and University </w:t>
            </w:r>
            <w:r w:rsidR="00347BF0">
              <w:rPr>
                <w:lang w:eastAsia="en-GB"/>
              </w:rPr>
              <w:t xml:space="preserve">strategic </w:t>
            </w:r>
            <w:r w:rsidR="00926A6E">
              <w:rPr>
                <w:lang w:eastAsia="en-GB"/>
              </w:rPr>
              <w:t xml:space="preserve">priorities. </w:t>
            </w:r>
          </w:p>
          <w:p w14:paraId="2D975706" w14:textId="74C55A0B" w:rsidR="00DB6F56" w:rsidRDefault="001827BA" w:rsidP="002148F6">
            <w:pPr>
              <w:rPr>
                <w:lang w:eastAsia="en-GB"/>
              </w:rPr>
            </w:pPr>
            <w:r w:rsidRPr="047F7D7C">
              <w:rPr>
                <w:lang w:eastAsia="en-GB"/>
              </w:rPr>
              <w:t xml:space="preserve">Transition from MyRDF planner to PebblePad planner </w:t>
            </w:r>
            <w:r w:rsidR="00023AB3" w:rsidRPr="047F7D7C">
              <w:rPr>
                <w:lang w:eastAsia="en-GB"/>
              </w:rPr>
              <w:t xml:space="preserve">is </w:t>
            </w:r>
            <w:r w:rsidR="00615FE2" w:rsidRPr="047F7D7C">
              <w:rPr>
                <w:lang w:eastAsia="en-GB"/>
              </w:rPr>
              <w:t>to</w:t>
            </w:r>
            <w:r w:rsidRPr="047F7D7C">
              <w:rPr>
                <w:lang w:eastAsia="en-GB"/>
              </w:rPr>
              <w:t xml:space="preserve"> be completed in 2024</w:t>
            </w:r>
            <w:r w:rsidR="002148F6" w:rsidRPr="047F7D7C">
              <w:rPr>
                <w:lang w:eastAsia="en-GB"/>
              </w:rPr>
              <w:t>.</w:t>
            </w:r>
            <w:r w:rsidRPr="047F7D7C">
              <w:rPr>
                <w:lang w:eastAsia="en-GB"/>
              </w:rPr>
              <w:t xml:space="preserve"> </w:t>
            </w:r>
            <w:r w:rsidR="002148F6" w:rsidRPr="047F7D7C">
              <w:rPr>
                <w:lang w:eastAsia="en-GB"/>
              </w:rPr>
              <w:t>F</w:t>
            </w:r>
            <w:r w:rsidRPr="047F7D7C">
              <w:rPr>
                <w:lang w:eastAsia="en-GB"/>
              </w:rPr>
              <w:t>ollowing the pilot of</w:t>
            </w:r>
            <w:r w:rsidR="008B732E" w:rsidRPr="047F7D7C">
              <w:rPr>
                <w:lang w:eastAsia="en-GB"/>
              </w:rPr>
              <w:t xml:space="preserve"> </w:t>
            </w:r>
            <w:r w:rsidR="002148F6" w:rsidRPr="047F7D7C">
              <w:rPr>
                <w:lang w:eastAsia="en-GB"/>
              </w:rPr>
              <w:t xml:space="preserve">setting-up </w:t>
            </w:r>
            <w:r w:rsidR="008B732E" w:rsidRPr="047F7D7C">
              <w:rPr>
                <w:lang w:eastAsia="en-GB"/>
              </w:rPr>
              <w:t>PGR DNAs and profiles</w:t>
            </w:r>
            <w:r w:rsidR="002148F6" w:rsidRPr="047F7D7C">
              <w:rPr>
                <w:lang w:eastAsia="en-GB"/>
              </w:rPr>
              <w:t xml:space="preserve"> PebblePad</w:t>
            </w:r>
            <w:r w:rsidR="00615FE2" w:rsidRPr="047F7D7C">
              <w:rPr>
                <w:lang w:eastAsia="en-GB"/>
              </w:rPr>
              <w:t xml:space="preserve">, researchers’ </w:t>
            </w:r>
            <w:r w:rsidR="00B462C6" w:rsidRPr="047F7D7C">
              <w:rPr>
                <w:lang w:eastAsia="en-GB"/>
              </w:rPr>
              <w:t>PDRs</w:t>
            </w:r>
            <w:r w:rsidR="00615FE2" w:rsidRPr="047F7D7C">
              <w:rPr>
                <w:lang w:eastAsia="en-GB"/>
              </w:rPr>
              <w:t xml:space="preserve"> will be moved to PebblePad as well. </w:t>
            </w:r>
            <w:r w:rsidR="00B462C6" w:rsidRPr="047F7D7C">
              <w:rPr>
                <w:lang w:eastAsia="en-GB"/>
              </w:rPr>
              <w:t>Discussions to b</w:t>
            </w:r>
            <w:r w:rsidR="006E164A" w:rsidRPr="047F7D7C">
              <w:rPr>
                <w:lang w:eastAsia="en-GB"/>
              </w:rPr>
              <w:t>e</w:t>
            </w:r>
            <w:r w:rsidR="00B462C6" w:rsidRPr="047F7D7C">
              <w:rPr>
                <w:lang w:eastAsia="en-GB"/>
              </w:rPr>
              <w:t xml:space="preserve"> hel</w:t>
            </w:r>
            <w:r w:rsidR="788F5C99" w:rsidRPr="047F7D7C">
              <w:rPr>
                <w:lang w:eastAsia="en-GB"/>
              </w:rPr>
              <w:t>d</w:t>
            </w:r>
            <w:r w:rsidR="00B462C6" w:rsidRPr="047F7D7C">
              <w:rPr>
                <w:lang w:eastAsia="en-GB"/>
              </w:rPr>
              <w:t xml:space="preserve"> on</w:t>
            </w:r>
            <w:r w:rsidR="00946774" w:rsidRPr="047F7D7C">
              <w:rPr>
                <w:lang w:eastAsia="en-GB"/>
              </w:rPr>
              <w:t xml:space="preserve"> how to align </w:t>
            </w:r>
            <w:r w:rsidR="00BD2CFB" w:rsidRPr="047F7D7C">
              <w:rPr>
                <w:lang w:eastAsia="en-GB"/>
              </w:rPr>
              <w:t xml:space="preserve">PRIPS, </w:t>
            </w:r>
            <w:r w:rsidR="00B462C6" w:rsidRPr="047F7D7C">
              <w:rPr>
                <w:lang w:eastAsia="en-GB"/>
              </w:rPr>
              <w:t xml:space="preserve">PDRs </w:t>
            </w:r>
            <w:r w:rsidR="00E15218" w:rsidRPr="047F7D7C">
              <w:rPr>
                <w:lang w:eastAsia="en-GB"/>
              </w:rPr>
              <w:t>and</w:t>
            </w:r>
            <w:r w:rsidR="00BD2CFB" w:rsidRPr="047F7D7C">
              <w:rPr>
                <w:lang w:eastAsia="en-GB"/>
              </w:rPr>
              <w:t xml:space="preserve"> workload model</w:t>
            </w:r>
            <w:r w:rsidR="00946774" w:rsidRPr="047F7D7C">
              <w:rPr>
                <w:lang w:eastAsia="en-GB"/>
              </w:rPr>
              <w:t xml:space="preserve"> better</w:t>
            </w:r>
            <w:r w:rsidR="00B462C6" w:rsidRPr="047F7D7C">
              <w:rPr>
                <w:lang w:eastAsia="en-GB"/>
              </w:rPr>
              <w:t xml:space="preserve">. </w:t>
            </w:r>
          </w:p>
          <w:p w14:paraId="6E638071" w14:textId="7579A860" w:rsidR="00E331C4" w:rsidRDefault="00404EE8" w:rsidP="0049479E">
            <w:pPr>
              <w:rPr>
                <w:lang w:eastAsia="en-GB"/>
              </w:rPr>
            </w:pPr>
            <w:r>
              <w:rPr>
                <w:lang w:eastAsia="en-GB"/>
              </w:rPr>
              <w:t xml:space="preserve">A system of monitoring researchers’ and research managers feedback via CEDARS, PRES, other internal surveys and focus groups will be established as part of annual </w:t>
            </w:r>
            <w:r w:rsidR="00DB6F56">
              <w:rPr>
                <w:lang w:eastAsia="en-GB"/>
              </w:rPr>
              <w:t xml:space="preserve">review </w:t>
            </w:r>
            <w:r>
              <w:rPr>
                <w:lang w:eastAsia="en-GB"/>
              </w:rPr>
              <w:t xml:space="preserve">cycle. </w:t>
            </w:r>
            <w:r w:rsidR="00E331C4">
              <w:rPr>
                <w:lang w:eastAsia="en-GB"/>
              </w:rPr>
              <w:t>A system for m</w:t>
            </w:r>
            <w:r w:rsidR="00E331C4" w:rsidRPr="00E331C4">
              <w:rPr>
                <w:lang w:eastAsia="en-GB"/>
              </w:rPr>
              <w:t xml:space="preserve">onitoring researchers’ engagement in training and development </w:t>
            </w:r>
            <w:r w:rsidR="00E331C4">
              <w:rPr>
                <w:lang w:eastAsia="en-GB"/>
              </w:rPr>
              <w:t xml:space="preserve">will be revised to ensure cross-university monitoring of the uptake and engagement. </w:t>
            </w:r>
            <w:r w:rsidR="00DB6F56">
              <w:rPr>
                <w:lang w:eastAsia="en-GB"/>
              </w:rPr>
              <w:t xml:space="preserve">PDRs and PRIPs will be reviewed as part of this process to establish merit for using them to identify development needs. </w:t>
            </w:r>
          </w:p>
          <w:p w14:paraId="39160E3C" w14:textId="42A95391" w:rsidR="00FE33A2" w:rsidRDefault="00A402CE" w:rsidP="0049479E">
            <w:r>
              <w:rPr>
                <w:lang w:eastAsia="en-GB"/>
              </w:rPr>
              <w:t xml:space="preserve">Implementation of </w:t>
            </w:r>
            <w:r>
              <w:t>Race Equality Charter and Athena Swan Action Plans will continue</w:t>
            </w:r>
            <w:r w:rsidR="009E2582">
              <w:t>. S</w:t>
            </w:r>
            <w:r>
              <w:t xml:space="preserve">ome of </w:t>
            </w:r>
            <w:r w:rsidR="009E2582">
              <w:t>planned</w:t>
            </w:r>
            <w:r>
              <w:t xml:space="preserve"> activities includ</w:t>
            </w:r>
            <w:r w:rsidR="009E2582">
              <w:t xml:space="preserve">e </w:t>
            </w:r>
            <w:r w:rsidR="004911C3">
              <w:t>developing institution-wide methods to capture granular data on staff experiences across all aspects of their employment and career journey, co-ordinating staff experience surveys</w:t>
            </w:r>
            <w:r w:rsidR="00BC7091">
              <w:t>, e</w:t>
            </w:r>
            <w:r w:rsidR="00FE33A2">
              <w:t>stablish</w:t>
            </w:r>
            <w:r w:rsidR="00BC7091">
              <w:t>ing</w:t>
            </w:r>
            <w:r w:rsidR="00FE33A2">
              <w:t xml:space="preserve"> an annual cycle of business for </w:t>
            </w:r>
            <w:r w:rsidR="007D26C7">
              <w:t>self-assessment teams</w:t>
            </w:r>
            <w:r w:rsidR="001F18D2">
              <w:t xml:space="preserve">, </w:t>
            </w:r>
            <w:r w:rsidR="007D26C7">
              <w:t>embed</w:t>
            </w:r>
            <w:r w:rsidR="00EC093A">
              <w:t>ding</w:t>
            </w:r>
            <w:r w:rsidR="007D26C7">
              <w:t xml:space="preserve"> the key principles of </w:t>
            </w:r>
            <w:r w:rsidR="008B3950">
              <w:t>the commitments in recruitment</w:t>
            </w:r>
            <w:r w:rsidR="007D26C7">
              <w:t xml:space="preserve">/ </w:t>
            </w:r>
            <w:r w:rsidR="008B3950">
              <w:t>progression</w:t>
            </w:r>
            <w:r w:rsidR="007D26C7">
              <w:t>/</w:t>
            </w:r>
            <w:r w:rsidR="008B3950">
              <w:t xml:space="preserve"> promotion, and more. </w:t>
            </w:r>
          </w:p>
          <w:p w14:paraId="5EDE36C2" w14:textId="013F676E" w:rsidR="00B65542" w:rsidRDefault="00E331C4" w:rsidP="00E331C4">
            <w:pPr>
              <w:rPr>
                <w:lang w:eastAsia="en-GB"/>
              </w:rPr>
            </w:pPr>
            <w:r>
              <w:rPr>
                <w:lang w:eastAsia="en-GB"/>
              </w:rPr>
              <w:t>Work will continue on c</w:t>
            </w:r>
            <w:r w:rsidR="00587BCF" w:rsidRPr="00587BCF">
              <w:rPr>
                <w:lang w:eastAsia="en-GB"/>
              </w:rPr>
              <w:t>reat</w:t>
            </w:r>
            <w:r w:rsidR="00EC093A">
              <w:rPr>
                <w:lang w:eastAsia="en-GB"/>
              </w:rPr>
              <w:t>ing</w:t>
            </w:r>
            <w:r w:rsidR="00587BCF" w:rsidRPr="00587BCF">
              <w:rPr>
                <w:lang w:eastAsia="en-GB"/>
              </w:rPr>
              <w:t xml:space="preserve"> opportunities </w:t>
            </w:r>
            <w:r>
              <w:rPr>
                <w:lang w:eastAsia="en-GB"/>
              </w:rPr>
              <w:t>to further develop</w:t>
            </w:r>
            <w:r w:rsidR="00587BCF" w:rsidRPr="00587BCF">
              <w:rPr>
                <w:lang w:eastAsia="en-GB"/>
              </w:rPr>
              <w:t xml:space="preserve"> an inclusive research community </w:t>
            </w:r>
            <w:r>
              <w:rPr>
                <w:lang w:eastAsia="en-GB"/>
              </w:rPr>
              <w:t xml:space="preserve">at the University </w:t>
            </w:r>
            <w:r w:rsidR="00587BCF" w:rsidRPr="00587BCF">
              <w:rPr>
                <w:lang w:eastAsia="en-GB"/>
              </w:rPr>
              <w:t xml:space="preserve">via communities of practice and researchers’ </w:t>
            </w:r>
            <w:r w:rsidR="00587BCF" w:rsidRPr="00587BCF">
              <w:rPr>
                <w:lang w:eastAsia="en-GB"/>
              </w:rPr>
              <w:lastRenderedPageBreak/>
              <w:t xml:space="preserve">fora </w:t>
            </w:r>
            <w:r w:rsidR="00E5189B">
              <w:rPr>
                <w:lang w:eastAsia="en-GB"/>
              </w:rPr>
              <w:t xml:space="preserve">(ECR forum, supervisors’ forum) </w:t>
            </w:r>
            <w:r>
              <w:rPr>
                <w:lang w:eastAsia="en-GB"/>
              </w:rPr>
              <w:t xml:space="preserve">as well as </w:t>
            </w:r>
            <w:r w:rsidR="00454D58">
              <w:rPr>
                <w:lang w:eastAsia="en-GB"/>
              </w:rPr>
              <w:t>interdisciplinary events, such as Career Fairs, Science Festivals, and more</w:t>
            </w:r>
            <w:r w:rsidR="00587BCF" w:rsidRPr="00587BCF">
              <w:rPr>
                <w:lang w:eastAsia="en-GB"/>
              </w:rPr>
              <w:t>.</w:t>
            </w:r>
            <w:r w:rsidR="00616564">
              <w:rPr>
                <w:lang w:eastAsia="en-GB"/>
              </w:rPr>
              <w:t xml:space="preserve"> </w:t>
            </w:r>
          </w:p>
          <w:p w14:paraId="43BD896F" w14:textId="7FF385AF" w:rsidR="00B65542" w:rsidRDefault="00616564" w:rsidP="00E331C4">
            <w:pPr>
              <w:rPr>
                <w:lang w:eastAsia="en-GB"/>
              </w:rPr>
            </w:pPr>
            <w:r>
              <w:rPr>
                <w:lang w:eastAsia="en-GB"/>
              </w:rPr>
              <w:t>Local induction process</w:t>
            </w:r>
            <w:r w:rsidR="00023AB3">
              <w:rPr>
                <w:lang w:eastAsia="en-GB"/>
              </w:rPr>
              <w:t>es</w:t>
            </w:r>
            <w:r>
              <w:rPr>
                <w:lang w:eastAsia="en-GB"/>
              </w:rPr>
              <w:t xml:space="preserve"> will be reviewed to ensure consistency of experience across the </w:t>
            </w:r>
            <w:r w:rsidR="0076532C">
              <w:rPr>
                <w:lang w:eastAsia="en-GB"/>
              </w:rPr>
              <w:t>U</w:t>
            </w:r>
            <w:r>
              <w:rPr>
                <w:lang w:eastAsia="en-GB"/>
              </w:rPr>
              <w:t xml:space="preserve">niversity. </w:t>
            </w:r>
          </w:p>
          <w:p w14:paraId="4D60E765" w14:textId="77777777" w:rsidR="00917F5F" w:rsidRDefault="00B65542" w:rsidP="00E331C4">
            <w:pPr>
              <w:rPr>
                <w:lang w:eastAsia="en-GB"/>
              </w:rPr>
            </w:pPr>
            <w:r>
              <w:rPr>
                <w:lang w:eastAsia="en-GB"/>
              </w:rPr>
              <w:t>Support to PGRs at the end of their research journey will be reviewed to ensure their successful transition into new roles</w:t>
            </w:r>
            <w:r w:rsidR="00917F5F">
              <w:rPr>
                <w:lang w:eastAsia="en-GB"/>
              </w:rPr>
              <w:t xml:space="preserve"> and jobs.</w:t>
            </w:r>
          </w:p>
          <w:p w14:paraId="618A5393" w14:textId="4551287E" w:rsidR="00330ABC" w:rsidRPr="00330ABC" w:rsidRDefault="002251C6" w:rsidP="00E331C4">
            <w:pPr>
              <w:rPr>
                <w:lang w:eastAsia="en-GB"/>
              </w:rPr>
            </w:pPr>
            <w:r>
              <w:rPr>
                <w:lang w:eastAsia="en-GB"/>
              </w:rPr>
              <w:t xml:space="preserve">University mentoring and/or coaching schemes will be piloted (BradATTAIN) and reviewed (mentoring </w:t>
            </w:r>
            <w:r w:rsidR="00023AB3">
              <w:rPr>
                <w:lang w:eastAsia="en-GB"/>
              </w:rPr>
              <w:t>in</w:t>
            </w:r>
            <w:r>
              <w:rPr>
                <w:lang w:eastAsia="en-GB"/>
              </w:rPr>
              <w:t xml:space="preserve"> the Faculty of Life Science) to identify best ways </w:t>
            </w:r>
            <w:r w:rsidR="00023AB3">
              <w:rPr>
                <w:lang w:eastAsia="en-GB"/>
              </w:rPr>
              <w:t>mov</w:t>
            </w:r>
            <w:r w:rsidR="00211297">
              <w:rPr>
                <w:lang w:eastAsia="en-GB"/>
              </w:rPr>
              <w:t>ing</w:t>
            </w:r>
            <w:r w:rsidR="00023AB3">
              <w:rPr>
                <w:lang w:eastAsia="en-GB"/>
              </w:rPr>
              <w:t xml:space="preserve"> </w:t>
            </w:r>
            <w:r>
              <w:rPr>
                <w:lang w:eastAsia="en-GB"/>
              </w:rPr>
              <w:t xml:space="preserve">forward. </w:t>
            </w:r>
          </w:p>
        </w:tc>
      </w:tr>
      <w:tr w:rsidR="00F62A02" w14:paraId="65B9F30A" w14:textId="77777777" w:rsidTr="005A045A">
        <w:trPr>
          <w:trHeight w:val="557"/>
        </w:trPr>
        <w:tc>
          <w:tcPr>
            <w:tcW w:w="8268" w:type="dxa"/>
          </w:tcPr>
          <w:p w14:paraId="1204CEA0" w14:textId="77777777" w:rsidR="008437C7" w:rsidRDefault="00F62A02" w:rsidP="009727D9">
            <w:pPr>
              <w:rPr>
                <w:b/>
                <w:bCs/>
                <w:i/>
                <w:iCs/>
              </w:rPr>
            </w:pPr>
            <w:r>
              <w:rPr>
                <w:b/>
                <w:bCs/>
              </w:rPr>
              <w:lastRenderedPageBreak/>
              <w:t xml:space="preserve">Please </w:t>
            </w:r>
            <w:r w:rsidR="0002153F">
              <w:rPr>
                <w:b/>
                <w:bCs/>
              </w:rPr>
              <w:t>provide</w:t>
            </w:r>
            <w:r>
              <w:rPr>
                <w:b/>
                <w:bCs/>
              </w:rPr>
              <w:t xml:space="preserve"> a brief statement </w:t>
            </w:r>
            <w:r w:rsidR="00D56662">
              <w:rPr>
                <w:b/>
                <w:bCs/>
              </w:rPr>
              <w:t>describing your</w:t>
            </w:r>
            <w:r>
              <w:rPr>
                <w:b/>
                <w:bCs/>
              </w:rPr>
              <w:t xml:space="preserve"> </w:t>
            </w:r>
            <w:r w:rsidR="000E4F10">
              <w:rPr>
                <w:b/>
                <w:bCs/>
              </w:rPr>
              <w:t>institution</w:t>
            </w:r>
            <w:r w:rsidR="00D865CE">
              <w:rPr>
                <w:b/>
                <w:bCs/>
              </w:rPr>
              <w:t>’s</w:t>
            </w:r>
            <w:r w:rsidR="000E4F10">
              <w:rPr>
                <w:b/>
                <w:bCs/>
              </w:rPr>
              <w:t xml:space="preserve"> approval process of th</w:t>
            </w:r>
            <w:r w:rsidR="00D865CE">
              <w:rPr>
                <w:b/>
                <w:bCs/>
              </w:rPr>
              <w:t>is</w:t>
            </w:r>
            <w:r w:rsidR="000E4F10">
              <w:rPr>
                <w:b/>
                <w:bCs/>
              </w:rPr>
              <w:t xml:space="preserve"> report</w:t>
            </w:r>
            <w:r w:rsidR="00522806">
              <w:rPr>
                <w:b/>
                <w:bCs/>
              </w:rPr>
              <w:t xml:space="preserve"> prior to sign off by the </w:t>
            </w:r>
            <w:r w:rsidR="00573657">
              <w:rPr>
                <w:b/>
                <w:bCs/>
              </w:rPr>
              <w:t>g</w:t>
            </w:r>
            <w:r w:rsidR="00522806">
              <w:rPr>
                <w:b/>
                <w:bCs/>
              </w:rPr>
              <w:t xml:space="preserve">overning </w:t>
            </w:r>
            <w:r w:rsidR="00573657">
              <w:rPr>
                <w:b/>
                <w:bCs/>
              </w:rPr>
              <w:t>b</w:t>
            </w:r>
            <w:r w:rsidR="00522806">
              <w:rPr>
                <w:b/>
                <w:bCs/>
              </w:rPr>
              <w:t>ody</w:t>
            </w:r>
            <w:r>
              <w:rPr>
                <w:b/>
                <w:bCs/>
              </w:rPr>
              <w:t xml:space="preserve"> </w:t>
            </w:r>
            <w:r>
              <w:rPr>
                <w:b/>
                <w:bCs/>
                <w:i/>
                <w:iCs/>
              </w:rPr>
              <w:t>(</w:t>
            </w:r>
            <w:r w:rsidR="00911C2C">
              <w:rPr>
                <w:b/>
                <w:bCs/>
                <w:i/>
                <w:iCs/>
              </w:rPr>
              <w:t xml:space="preserve">max </w:t>
            </w:r>
            <w:r w:rsidR="0002153F">
              <w:rPr>
                <w:b/>
                <w:bCs/>
                <w:i/>
                <w:iCs/>
              </w:rPr>
              <w:t>200</w:t>
            </w:r>
            <w:r>
              <w:rPr>
                <w:b/>
                <w:bCs/>
                <w:i/>
                <w:iCs/>
              </w:rPr>
              <w:t xml:space="preserve"> words) </w:t>
            </w:r>
          </w:p>
          <w:p w14:paraId="5D749E03" w14:textId="7F8C4974" w:rsidR="003A4187" w:rsidRPr="003A4187" w:rsidRDefault="003A4187" w:rsidP="000C4CB0">
            <w:pPr>
              <w:rPr>
                <w:b/>
                <w:bCs/>
              </w:rPr>
            </w:pPr>
            <w:r w:rsidRPr="003A4187">
              <w:rPr>
                <w:b/>
                <w:bCs/>
              </w:rPr>
              <w:t>Wordcount: 130</w:t>
            </w:r>
          </w:p>
          <w:p w14:paraId="05533F8F" w14:textId="3C5C84C8" w:rsidR="00215917" w:rsidRPr="00215917" w:rsidRDefault="006609CE" w:rsidP="000C4CB0">
            <w:r>
              <w:t xml:space="preserve">This report </w:t>
            </w:r>
            <w:r w:rsidR="00102A11">
              <w:t>is</w:t>
            </w:r>
            <w:r>
              <w:t xml:space="preserve"> </w:t>
            </w:r>
            <w:r w:rsidR="000C35CB">
              <w:t xml:space="preserve">prepared by the Bradford Researcher Development Framework team </w:t>
            </w:r>
            <w:r w:rsidR="00F967FD">
              <w:t xml:space="preserve">which oversees the implementation of the Concordat. The report is then </w:t>
            </w:r>
            <w:r>
              <w:t>reviewed by the Researcher Development Working Group</w:t>
            </w:r>
            <w:r w:rsidR="00F967FD">
              <w:t>,</w:t>
            </w:r>
            <w:r w:rsidR="0091583F">
              <w:t xml:space="preserve"> a collective body </w:t>
            </w:r>
            <w:r w:rsidR="00F2470A">
              <w:t xml:space="preserve">which represents various stakeholders involved in researcher development, including researchers across various career stages, their managers, and </w:t>
            </w:r>
            <w:r w:rsidR="00665BE7">
              <w:t xml:space="preserve">representatives of various </w:t>
            </w:r>
            <w:r w:rsidR="0076532C">
              <w:t>U</w:t>
            </w:r>
            <w:r w:rsidR="00665BE7">
              <w:t xml:space="preserve">niversity departments. </w:t>
            </w:r>
            <w:r w:rsidR="0091583F">
              <w:t xml:space="preserve">The report is </w:t>
            </w:r>
            <w:r w:rsidR="00665BE7">
              <w:t xml:space="preserve">then reviewed by </w:t>
            </w:r>
            <w:r w:rsidR="0091583F">
              <w:t>the Pro-Vice Chancellor for Research and Innovation</w:t>
            </w:r>
            <w:r w:rsidR="0019642F">
              <w:t>. Upon</w:t>
            </w:r>
            <w:r w:rsidR="0017501F">
              <w:t xml:space="preserve"> their</w:t>
            </w:r>
            <w:r w:rsidR="0019642F">
              <w:t xml:space="preserve"> approval, the report is </w:t>
            </w:r>
            <w:r w:rsidR="0091583F">
              <w:t>presented to</w:t>
            </w:r>
            <w:r w:rsidR="0019642F">
              <w:t xml:space="preserve"> </w:t>
            </w:r>
            <w:r w:rsidR="0091583F">
              <w:t>the Research and Innovation Committee.</w:t>
            </w:r>
            <w:r w:rsidR="0017501F">
              <w:t xml:space="preserve"> Upon discussion, amendments and approval, </w:t>
            </w:r>
            <w:r w:rsidR="001714C0">
              <w:t>t</w:t>
            </w:r>
            <w:r w:rsidR="00925C44">
              <w:t xml:space="preserve">he report is </w:t>
            </w:r>
            <w:r w:rsidR="001714C0">
              <w:t xml:space="preserve">being presented </w:t>
            </w:r>
            <w:r w:rsidR="0017501F">
              <w:t>to</w:t>
            </w:r>
            <w:r w:rsidR="001714C0">
              <w:t xml:space="preserve"> the Senate and </w:t>
            </w:r>
            <w:r w:rsidR="0017501F">
              <w:t xml:space="preserve">then </w:t>
            </w:r>
            <w:r w:rsidR="001714C0">
              <w:t>Council.</w:t>
            </w:r>
            <w:r w:rsidR="0017501F">
              <w:t xml:space="preserve"> </w:t>
            </w:r>
            <w:r w:rsidR="001714C0">
              <w:t xml:space="preserve">Upon the final approval by the Council, the report is </w:t>
            </w:r>
            <w:r w:rsidR="002A61E2">
              <w:t xml:space="preserve">officially made publicly available </w:t>
            </w:r>
            <w:r w:rsidR="00023AB3">
              <w:t>on</w:t>
            </w:r>
            <w:r w:rsidR="002A61E2">
              <w:t xml:space="preserve"> the University’s website </w:t>
            </w:r>
            <w:r w:rsidR="000C4CB0">
              <w:t xml:space="preserve">and is sent to the </w:t>
            </w:r>
            <w:r w:rsidR="002A61E2">
              <w:t>secretariat for the Concordat to Support the Career Development of Researchers</w:t>
            </w:r>
            <w:r w:rsidR="000C4CB0">
              <w:t>.</w:t>
            </w:r>
          </w:p>
        </w:tc>
      </w:tr>
    </w:tbl>
    <w:p w14:paraId="58C353FD" w14:textId="77777777" w:rsidR="0002153F" w:rsidRDefault="0002153F" w:rsidP="009727D9"/>
    <w:p w14:paraId="2E91DA98" w14:textId="0BCD29A5" w:rsidR="009727D9" w:rsidRDefault="00936C2A" w:rsidP="009727D9">
      <w:r>
        <w:t xml:space="preserve">Signature </w:t>
      </w:r>
      <w:r w:rsidR="00EC0691">
        <w:t xml:space="preserve">on behalf of </w:t>
      </w:r>
      <w:r>
        <w:t xml:space="preserve">governing body: </w:t>
      </w:r>
    </w:p>
    <w:p w14:paraId="4744CF5E" w14:textId="72EB8E50" w:rsidR="00936C2A" w:rsidRDefault="00936C2A" w:rsidP="009727D9">
      <w:r>
        <w:t xml:space="preserve">Contact for queries: </w:t>
      </w:r>
    </w:p>
    <w:p w14:paraId="1BA53EE8" w14:textId="2CB33AE6" w:rsidR="00936C2A" w:rsidRDefault="00936C2A" w:rsidP="009727D9">
      <w:r>
        <w:t xml:space="preserve">This annual report will be analysed by Universities UK, secretariat for the Concordat to Support the Career Development of Researchers, to identify good practices, themes for development and information to improve national research culture policy and practice. </w:t>
      </w:r>
    </w:p>
    <w:p w14:paraId="4127C554" w14:textId="44398297" w:rsidR="00EC0691" w:rsidRDefault="00EC0691" w:rsidP="009727D9">
      <w:r>
        <w:lastRenderedPageBreak/>
        <w:t>If you have any</w:t>
      </w:r>
      <w:r w:rsidR="002A3E6F">
        <w:t xml:space="preserve"> questions, or</w:t>
      </w:r>
      <w:r w:rsidR="000B08AB">
        <w:t xml:space="preserve"> suggestions</w:t>
      </w:r>
      <w:r w:rsidR="002A3E6F">
        <w:t xml:space="preserve"> on how the reporting process could be improved,</w:t>
      </w:r>
      <w:r>
        <w:t xml:space="preserve"> please contact the secretariat at </w:t>
      </w:r>
      <w:hyperlink r:id="rId21" w:history="1">
        <w:r w:rsidRPr="0079779B">
          <w:rPr>
            <w:rStyle w:val="Hyperlink"/>
          </w:rPr>
          <w:t>CDRsecretariat@universitiesuk.ac.uk</w:t>
        </w:r>
      </w:hyperlink>
      <w:r>
        <w:t xml:space="preserve"> </w:t>
      </w:r>
    </w:p>
    <w:p w14:paraId="339BC85F" w14:textId="3AC3A782" w:rsidR="00EC0691" w:rsidRPr="009727D9" w:rsidRDefault="00000000" w:rsidP="009727D9">
      <w:hyperlink r:id="rId22" w:history="1">
        <w:r w:rsidR="00EC0691" w:rsidRPr="0079779B">
          <w:rPr>
            <w:rStyle w:val="Hyperlink"/>
          </w:rPr>
          <w:t>www.researcherdevelopmentconcordat.ac.uk</w:t>
        </w:r>
      </w:hyperlink>
      <w:r w:rsidR="00EC0691">
        <w:t xml:space="preserve"> </w:t>
      </w:r>
    </w:p>
    <w:sectPr w:rsidR="00EC0691" w:rsidRPr="009727D9" w:rsidSect="009A3C8D">
      <w:headerReference w:type="default" r:id="rId23"/>
      <w:headerReference w:type="first" r:id="rId24"/>
      <w:pgSz w:w="11906" w:h="16838"/>
      <w:pgMar w:top="2041" w:right="1814" w:bottom="1814" w:left="1814" w:header="73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C50BC" w14:textId="77777777" w:rsidR="00525FE9" w:rsidRDefault="00525FE9" w:rsidP="00521A22">
      <w:r>
        <w:separator/>
      </w:r>
    </w:p>
  </w:endnote>
  <w:endnote w:type="continuationSeparator" w:id="0">
    <w:p w14:paraId="7C3BE0F0" w14:textId="77777777" w:rsidR="00525FE9" w:rsidRDefault="00525FE9" w:rsidP="00521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489D1" w14:textId="77777777" w:rsidR="00525FE9" w:rsidRPr="007B6794" w:rsidRDefault="00525FE9" w:rsidP="007B6794">
      <w:pPr>
        <w:pStyle w:val="BodyText"/>
        <w:rPr>
          <w:rStyle w:val="HighlightBlue"/>
        </w:rPr>
      </w:pPr>
      <w:r w:rsidRPr="007B6794">
        <w:rPr>
          <w:rStyle w:val="HighlightBlue"/>
        </w:rPr>
        <w:t>_______________</w:t>
      </w:r>
    </w:p>
  </w:footnote>
  <w:footnote w:type="continuationSeparator" w:id="0">
    <w:p w14:paraId="3EB83761" w14:textId="77777777" w:rsidR="00525FE9" w:rsidRPr="007B6794" w:rsidRDefault="00525FE9" w:rsidP="007B6794">
      <w:pPr>
        <w:pStyle w:val="BodyText"/>
        <w:rPr>
          <w:rStyle w:val="HighlightBlue"/>
        </w:rPr>
      </w:pPr>
      <w:r w:rsidRPr="007B6794">
        <w:rPr>
          <w:rStyle w:val="HighlightBlue"/>
        </w:rPr>
        <w:t>____________________________________________________________</w:t>
      </w:r>
    </w:p>
  </w:footnote>
  <w:footnote w:type="continuationNotice" w:id="1">
    <w:p w14:paraId="4B1B8C26" w14:textId="77777777" w:rsidR="00525FE9" w:rsidRDefault="00525FE9" w:rsidP="007B679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BCC46" w14:textId="77777777" w:rsidR="009A3C8D" w:rsidRDefault="009A3C8D">
    <w:pPr>
      <w:pStyle w:val="Header"/>
    </w:pPr>
    <w:r>
      <w:rPr>
        <w:noProof/>
        <w:color w:val="2B579A"/>
        <w:shd w:val="clear" w:color="auto" w:fill="E6E6E6"/>
      </w:rPr>
      <mc:AlternateContent>
        <mc:Choice Requires="wpg">
          <w:drawing>
            <wp:anchor distT="0" distB="0" distL="114300" distR="114300" simplePos="0" relativeHeight="251693056" behindDoc="0" locked="0" layoutInCell="1" allowOverlap="1" wp14:anchorId="6CD99198" wp14:editId="701A2F59">
              <wp:simplePos x="0" y="0"/>
              <wp:positionH relativeFrom="column">
                <wp:posOffset>-694690</wp:posOffset>
              </wp:positionH>
              <wp:positionV relativeFrom="paragraph">
                <wp:posOffset>882015</wp:posOffset>
              </wp:positionV>
              <wp:extent cx="6609600" cy="8870400"/>
              <wp:effectExtent l="0" t="0" r="1270" b="6985"/>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609600" cy="8870400"/>
                        <a:chOff x="0" y="0"/>
                        <a:chExt cx="6608836" cy="8871735"/>
                      </a:xfrm>
                    </wpg:grpSpPr>
                    <wps:wsp>
                      <wps:cNvPr id="45" name="Oval 45"/>
                      <wps:cNvSpPr/>
                      <wps:spPr>
                        <a:xfrm>
                          <a:off x="6213231" y="8475784"/>
                          <a:ext cx="395605" cy="395951"/>
                        </a:xfrm>
                        <a:prstGeom prst="ellipse">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0DF464" w14:textId="77777777" w:rsidR="009A3C8D" w:rsidRPr="00044AE9" w:rsidRDefault="009A3C8D" w:rsidP="009A3C8D">
                            <w:pPr>
                              <w:pStyle w:val="PageNumberinCircle"/>
                              <w:spacing w:after="0" w:line="240" w:lineRule="auto"/>
                              <w:jc w:val="center"/>
                              <w:rPr>
                                <w:b/>
                                <w:bCs/>
                                <w:sz w:val="24"/>
                                <w:szCs w:val="24"/>
                              </w:rPr>
                            </w:pPr>
                            <w:r w:rsidRPr="00044AE9">
                              <w:rPr>
                                <w:b/>
                                <w:bCs/>
                                <w:color w:val="2B579A"/>
                                <w:sz w:val="24"/>
                                <w:szCs w:val="24"/>
                                <w:shd w:val="clear" w:color="auto" w:fill="E6E6E6"/>
                              </w:rPr>
                              <w:fldChar w:fldCharType="begin"/>
                            </w:r>
                            <w:r w:rsidRPr="00044AE9">
                              <w:rPr>
                                <w:b/>
                                <w:bCs/>
                                <w:sz w:val="24"/>
                                <w:szCs w:val="24"/>
                              </w:rPr>
                              <w:instrText xml:space="preserve"> PAGE   \* MERGEFORMAT </w:instrText>
                            </w:r>
                            <w:r w:rsidRPr="00044AE9">
                              <w:rPr>
                                <w:b/>
                                <w:bCs/>
                                <w:color w:val="2B579A"/>
                                <w:sz w:val="24"/>
                                <w:szCs w:val="24"/>
                                <w:shd w:val="clear" w:color="auto" w:fill="E6E6E6"/>
                              </w:rPr>
                              <w:fldChar w:fldCharType="separate"/>
                            </w:r>
                            <w:r w:rsidRPr="00044AE9">
                              <w:rPr>
                                <w:b/>
                                <w:bCs/>
                                <w:sz w:val="24"/>
                                <w:szCs w:val="24"/>
                              </w:rPr>
                              <w:t>1</w:t>
                            </w:r>
                            <w:r w:rsidRPr="00044AE9">
                              <w:rPr>
                                <w:b/>
                                <w:bCs/>
                                <w:color w:val="2B579A"/>
                                <w:sz w:val="24"/>
                                <w:szCs w:val="24"/>
                                <w:shd w:val="clear" w:color="auto" w:fill="E6E6E6"/>
                              </w:rPr>
                              <w:fldChar w:fldCharType="end"/>
                            </w:r>
                          </w:p>
                        </w:txbxContent>
                      </wps:txbx>
                      <wps:bodyPr rot="0" spcFirstLastPara="0" vertOverflow="overflow" horzOverflow="overflow" vert="horz" wrap="square" lIns="0" tIns="0" rIns="0" bIns="18000" numCol="1" spcCol="0" rtlCol="0" fromWordArt="0" anchor="ctr" anchorCtr="0" forceAA="0" compatLnSpc="1">
                        <a:prstTxWarp prst="textNoShape">
                          <a:avLst/>
                        </a:prstTxWarp>
                        <a:noAutofit/>
                      </wps:bodyPr>
                    </wps:wsp>
                    <wpg:grpSp>
                      <wpg:cNvPr id="10" name="Group 8"/>
                      <wpg:cNvGrpSpPr/>
                      <wpg:grpSpPr>
                        <a:xfrm>
                          <a:off x="0" y="0"/>
                          <a:ext cx="36000" cy="8820000"/>
                          <a:chOff x="0" y="0"/>
                          <a:chExt cx="54000" cy="8825230"/>
                        </a:xfrm>
                      </wpg:grpSpPr>
                      <wps:wsp>
                        <wps:cNvPr id="11" name="Straight Connector 11"/>
                        <wps:cNvCnPr>
                          <a:cxnSpLocks/>
                        </wps:cNvCnPr>
                        <wps:spPr>
                          <a:xfrm>
                            <a:off x="27000" y="0"/>
                            <a:ext cx="0" cy="882523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a:cxnSpLocks/>
                        </wps:cNvCnPr>
                        <wps:spPr>
                          <a:xfrm>
                            <a:off x="0" y="0"/>
                            <a:ext cx="54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a:cxnSpLocks/>
                        </wps:cNvCnPr>
                        <wps:spPr>
                          <a:xfrm>
                            <a:off x="0" y="8825230"/>
                            <a:ext cx="54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6CD99198" id="Group 1" o:spid="_x0000_s1026" alt="&quot;&quot;" style="position:absolute;margin-left:-54.7pt;margin-top:69.45pt;width:520.45pt;height:698.45pt;z-index:251693056;mso-width-relative:margin;mso-height-relative:margin" coordsize="66088,88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">
              <v:oval id="Oval 45" o:spid="_x0000_s1027" style="position:absolute;left:62132;top:84757;width:3956;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" fillcolor="#1d70eb [3215]" stroked="f" strokeweight="1pt">
                <v:stroke joinstyle="miter"/>
                <v:textbox inset="0,0,0,.5mm">
                  <w:txbxContent>
                    <w:p w14:paraId="460DF464" w14:textId="77777777" w:rsidR="009A3C8D" w:rsidRPr="00044AE9" w:rsidRDefault="009A3C8D" w:rsidP="009A3C8D">
                      <w:pPr>
                        <w:pStyle w:val="PageNumberinCircle"/>
                        <w:spacing w:after="0" w:line="240" w:lineRule="auto"/>
                        <w:jc w:val="center"/>
                        <w:rPr>
                          <w:b/>
                          <w:bCs/>
                          <w:sz w:val="24"/>
                          <w:szCs w:val="24"/>
                        </w:rPr>
                      </w:pPr>
                      <w:r w:rsidRPr="00044AE9">
                        <w:rPr>
                          <w:b/>
                          <w:bCs/>
                          <w:color w:val="2B579A"/>
                          <w:sz w:val="24"/>
                          <w:szCs w:val="24"/>
                          <w:shd w:val="clear" w:color="auto" w:fill="E6E6E6"/>
                        </w:rPr>
                        <w:fldChar w:fldCharType="begin"/>
                      </w:r>
                      <w:r w:rsidRPr="00044AE9">
                        <w:rPr>
                          <w:b/>
                          <w:bCs/>
                          <w:sz w:val="24"/>
                          <w:szCs w:val="24"/>
                        </w:rPr>
                        <w:instrText xml:space="preserve"> PAGE   \* MERGEFORMAT </w:instrText>
                      </w:r>
                      <w:r w:rsidRPr="00044AE9">
                        <w:rPr>
                          <w:b/>
                          <w:bCs/>
                          <w:color w:val="2B579A"/>
                          <w:sz w:val="24"/>
                          <w:szCs w:val="24"/>
                          <w:shd w:val="clear" w:color="auto" w:fill="E6E6E6"/>
                        </w:rPr>
                        <w:fldChar w:fldCharType="separate"/>
                      </w:r>
                      <w:r w:rsidRPr="00044AE9">
                        <w:rPr>
                          <w:b/>
                          <w:bCs/>
                          <w:sz w:val="24"/>
                          <w:szCs w:val="24"/>
                        </w:rPr>
                        <w:t>1</w:t>
                      </w:r>
                      <w:r w:rsidRPr="00044AE9">
                        <w:rPr>
                          <w:b/>
                          <w:bCs/>
                          <w:color w:val="2B579A"/>
                          <w:sz w:val="24"/>
                          <w:szCs w:val="24"/>
                          <w:shd w:val="clear" w:color="auto" w:fill="E6E6E6"/>
                        </w:rPr>
                        <w:fldChar w:fldCharType="end"/>
                      </w:r>
                    </w:p>
                  </w:txbxContent>
                </v:textbox>
              </v:oval>
              <v:group id="Group 8" o:spid="_x0000_s1028" style="position:absolute;width:360;height:88200" coordsize="540,8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Straight Connector 11" o:spid="_x0000_s1029" style="position:absolute;visibility:visible;mso-wrap-style:square" from="270,0" to="270,88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" strokecolor="black [3213]" strokeweight=".5pt">
                  <v:stroke joinstyle="miter"/>
                  <o:lock v:ext="edit" shapetype="f"/>
                </v:line>
                <v:line id="Straight Connector 12" o:spid="_x0000_s1030" style="position:absolute;visibility:visible;mso-wrap-style:square" from="0,0" to="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" strokecolor="black [3213]" strokeweight=".5pt">
                  <v:stroke joinstyle="miter"/>
                  <o:lock v:ext="edit" shapetype="f"/>
                </v:line>
                <v:line id="Straight Connector 13" o:spid="_x0000_s1031" style="position:absolute;visibility:visible;mso-wrap-style:square" from="0,88252" to="540,88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" strokecolor="black [3213]" strokeweight=".5pt">
                  <v:stroke joinstyle="miter"/>
                  <o:lock v:ext="edit" shapetype="f"/>
                </v:line>
              </v:group>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2BDD9" w14:textId="6BD10F7F" w:rsidR="009A3C8D" w:rsidRDefault="00900209">
    <w:pPr>
      <w:pStyle w:val="Header"/>
    </w:pPr>
    <w:r>
      <w:rPr>
        <w:noProof/>
        <w:color w:val="2B579A"/>
        <w:shd w:val="clear" w:color="auto" w:fill="E6E6E6"/>
      </w:rPr>
      <w:drawing>
        <wp:anchor distT="0" distB="0" distL="114300" distR="114300" simplePos="0" relativeHeight="251695104" behindDoc="1" locked="0" layoutInCell="1" allowOverlap="1" wp14:anchorId="2C3E61C4" wp14:editId="379768C9">
          <wp:simplePos x="0" y="0"/>
          <wp:positionH relativeFrom="column">
            <wp:posOffset>-633730</wp:posOffset>
          </wp:positionH>
          <wp:positionV relativeFrom="paragraph">
            <wp:posOffset>-250825</wp:posOffset>
          </wp:positionV>
          <wp:extent cx="3025775" cy="956945"/>
          <wp:effectExtent l="0" t="0" r="3175" b="0"/>
          <wp:wrapTight wrapText="bothSides">
            <wp:wrapPolygon edited="0">
              <wp:start x="0" y="0"/>
              <wp:lineTo x="0" y="21070"/>
              <wp:lineTo x="21487" y="21070"/>
              <wp:lineTo x="21487"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3025775" cy="956945"/>
                  </a:xfrm>
                  <a:prstGeom prst="rect">
                    <a:avLst/>
                  </a:prstGeom>
                </pic:spPr>
              </pic:pic>
            </a:graphicData>
          </a:graphic>
          <wp14:sizeRelH relativeFrom="margin">
            <wp14:pctWidth>0</wp14:pctWidth>
          </wp14:sizeRelH>
          <wp14:sizeRelV relativeFrom="margin">
            <wp14:pctHeight>0</wp14:pctHeight>
          </wp14:sizeRelV>
        </wp:anchor>
      </w:drawing>
    </w:r>
  </w:p>
  <w:p w14:paraId="1E6A2917" w14:textId="77777777" w:rsidR="009A3C8D" w:rsidRDefault="009A3C8D" w:rsidP="009A3C8D">
    <w:pPr>
      <w:pStyle w:val="Header"/>
      <w:jc w:val="right"/>
    </w:pPr>
  </w:p>
  <w:p w14:paraId="69B7298D" w14:textId="77777777" w:rsidR="009A3C8D" w:rsidRDefault="009A3C8D" w:rsidP="009A3C8D">
    <w:pPr>
      <w:pStyle w:val="Header"/>
      <w:jc w:val="right"/>
    </w:pPr>
  </w:p>
  <w:p w14:paraId="32C1EA07" w14:textId="77777777" w:rsidR="009A3C8D" w:rsidRDefault="009A3C8D" w:rsidP="009A3C8D">
    <w:pPr>
      <w:pStyle w:val="Header"/>
      <w:jc w:val="right"/>
    </w:pPr>
  </w:p>
  <w:p w14:paraId="543BE648" w14:textId="77777777" w:rsidR="009A3C8D" w:rsidRDefault="009A3C8D" w:rsidP="009A3C8D">
    <w:pPr>
      <w:pStyle w:val="Header"/>
      <w:jc w:val="right"/>
    </w:pPr>
  </w:p>
  <w:p w14:paraId="18FE4CE6" w14:textId="77777777" w:rsidR="009A3C8D" w:rsidRDefault="009A3C8D" w:rsidP="009A3C8D">
    <w:pPr>
      <w:pStyle w:val="Header"/>
      <w:jc w:val="right"/>
    </w:pPr>
  </w:p>
  <w:p w14:paraId="6ED8C6E1" w14:textId="77777777" w:rsidR="009A3C8D" w:rsidRDefault="009A3C8D" w:rsidP="009A3C8D">
    <w:pPr>
      <w:pStyle w:val="Header"/>
      <w:jc w:val="right"/>
    </w:pPr>
  </w:p>
  <w:p w14:paraId="0D528FD7" w14:textId="77777777" w:rsidR="009A3C8D" w:rsidRDefault="009A3C8D" w:rsidP="009A3C8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5.25pt;height:5.2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" o:bullet="t">
        <v:imagedata r:id="rId1" o:title="" cropright="-489f"/>
      </v:shape>
    </w:pict>
  </w:numPicBullet>
  <w:numPicBullet w:numPicBulletId="1">
    <w:pict>
      <v:shape id="_x0000_i1053" type="#_x0000_t75" style="width:25.5pt;height:10.5pt;visibility:visible;mso-wrap-style:square" o:bullet="t">
        <v:imagedata r:id="rId2" o:title=""/>
      </v:shape>
    </w:pict>
  </w:numPicBullet>
  <w:abstractNum w:abstractNumId="0" w15:restartNumberingAfterBreak="0">
    <w:nsid w:val="FFFFFF7F"/>
    <w:multiLevelType w:val="singleLevel"/>
    <w:tmpl w:val="DA6631A4"/>
    <w:lvl w:ilvl="0">
      <w:start w:val="1"/>
      <w:numFmt w:val="lowerLetter"/>
      <w:pStyle w:val="ListNumber2"/>
      <w:lvlText w:val="%1."/>
      <w:lvlJc w:val="left"/>
      <w:pPr>
        <w:ind w:left="643" w:hanging="360"/>
      </w:pPr>
    </w:lvl>
  </w:abstractNum>
  <w:abstractNum w:abstractNumId="1" w15:restartNumberingAfterBreak="0">
    <w:nsid w:val="FFFFFF83"/>
    <w:multiLevelType w:val="singleLevel"/>
    <w:tmpl w:val="FF18F5FC"/>
    <w:lvl w:ilvl="0">
      <w:start w:val="1"/>
      <w:numFmt w:val="bullet"/>
      <w:pStyle w:val="ListBullet2"/>
      <w:lvlText w:val="–"/>
      <w:lvlJc w:val="left"/>
      <w:pPr>
        <w:ind w:left="644" w:hanging="360"/>
      </w:pPr>
      <w:rPr>
        <w:rFonts w:ascii="Calibri" w:hAnsi="Calibri" w:hint="default"/>
      </w:rPr>
    </w:lvl>
  </w:abstractNum>
  <w:abstractNum w:abstractNumId="2" w15:restartNumberingAfterBreak="0">
    <w:nsid w:val="FFFFFF88"/>
    <w:multiLevelType w:val="singleLevel"/>
    <w:tmpl w:val="ABB0F708"/>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E508293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097653"/>
    <w:multiLevelType w:val="hybridMultilevel"/>
    <w:tmpl w:val="601211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260681"/>
    <w:multiLevelType w:val="hybridMultilevel"/>
    <w:tmpl w:val="82EE5B68"/>
    <w:lvl w:ilvl="0" w:tplc="3A72B9B8">
      <w:start w:val="1"/>
      <w:numFmt w:val="bullet"/>
      <w:lvlText w:val=""/>
      <w:lvlJc w:val="left"/>
      <w:pPr>
        <w:ind w:left="1440" w:hanging="360"/>
      </w:pPr>
      <w:rPr>
        <w:rFonts w:ascii="Symbol" w:hAnsi="Symbol"/>
      </w:rPr>
    </w:lvl>
    <w:lvl w:ilvl="1" w:tplc="60D4FCFE">
      <w:start w:val="1"/>
      <w:numFmt w:val="bullet"/>
      <w:lvlText w:val=""/>
      <w:lvlJc w:val="left"/>
      <w:pPr>
        <w:ind w:left="1440" w:hanging="360"/>
      </w:pPr>
      <w:rPr>
        <w:rFonts w:ascii="Symbol" w:hAnsi="Symbol"/>
      </w:rPr>
    </w:lvl>
    <w:lvl w:ilvl="2" w:tplc="5CB27BAE">
      <w:start w:val="1"/>
      <w:numFmt w:val="bullet"/>
      <w:lvlText w:val=""/>
      <w:lvlJc w:val="left"/>
      <w:pPr>
        <w:ind w:left="1440" w:hanging="360"/>
      </w:pPr>
      <w:rPr>
        <w:rFonts w:ascii="Symbol" w:hAnsi="Symbol"/>
      </w:rPr>
    </w:lvl>
    <w:lvl w:ilvl="3" w:tplc="69ECF6F8">
      <w:start w:val="1"/>
      <w:numFmt w:val="bullet"/>
      <w:lvlText w:val=""/>
      <w:lvlJc w:val="left"/>
      <w:pPr>
        <w:ind w:left="1440" w:hanging="360"/>
      </w:pPr>
      <w:rPr>
        <w:rFonts w:ascii="Symbol" w:hAnsi="Symbol"/>
      </w:rPr>
    </w:lvl>
    <w:lvl w:ilvl="4" w:tplc="51325822">
      <w:start w:val="1"/>
      <w:numFmt w:val="bullet"/>
      <w:lvlText w:val=""/>
      <w:lvlJc w:val="left"/>
      <w:pPr>
        <w:ind w:left="1440" w:hanging="360"/>
      </w:pPr>
      <w:rPr>
        <w:rFonts w:ascii="Symbol" w:hAnsi="Symbol"/>
      </w:rPr>
    </w:lvl>
    <w:lvl w:ilvl="5" w:tplc="8D76858E">
      <w:start w:val="1"/>
      <w:numFmt w:val="bullet"/>
      <w:lvlText w:val=""/>
      <w:lvlJc w:val="left"/>
      <w:pPr>
        <w:ind w:left="1440" w:hanging="360"/>
      </w:pPr>
      <w:rPr>
        <w:rFonts w:ascii="Symbol" w:hAnsi="Symbol"/>
      </w:rPr>
    </w:lvl>
    <w:lvl w:ilvl="6" w:tplc="3530FBC8">
      <w:start w:val="1"/>
      <w:numFmt w:val="bullet"/>
      <w:lvlText w:val=""/>
      <w:lvlJc w:val="left"/>
      <w:pPr>
        <w:ind w:left="1440" w:hanging="360"/>
      </w:pPr>
      <w:rPr>
        <w:rFonts w:ascii="Symbol" w:hAnsi="Symbol"/>
      </w:rPr>
    </w:lvl>
    <w:lvl w:ilvl="7" w:tplc="AED22278">
      <w:start w:val="1"/>
      <w:numFmt w:val="bullet"/>
      <w:lvlText w:val=""/>
      <w:lvlJc w:val="left"/>
      <w:pPr>
        <w:ind w:left="1440" w:hanging="360"/>
      </w:pPr>
      <w:rPr>
        <w:rFonts w:ascii="Symbol" w:hAnsi="Symbol"/>
      </w:rPr>
    </w:lvl>
    <w:lvl w:ilvl="8" w:tplc="AB7E8E3A">
      <w:start w:val="1"/>
      <w:numFmt w:val="bullet"/>
      <w:lvlText w:val=""/>
      <w:lvlJc w:val="left"/>
      <w:pPr>
        <w:ind w:left="1440" w:hanging="360"/>
      </w:pPr>
      <w:rPr>
        <w:rFonts w:ascii="Symbol" w:hAnsi="Symbol"/>
      </w:rPr>
    </w:lvl>
  </w:abstractNum>
  <w:abstractNum w:abstractNumId="6" w15:restartNumberingAfterBreak="0">
    <w:nsid w:val="218E72CE"/>
    <w:multiLevelType w:val="multilevel"/>
    <w:tmpl w:val="29AC3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D138FC"/>
    <w:multiLevelType w:val="multilevel"/>
    <w:tmpl w:val="C7DCC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BE13E3"/>
    <w:multiLevelType w:val="hybridMultilevel"/>
    <w:tmpl w:val="E2B60594"/>
    <w:lvl w:ilvl="0" w:tplc="97B6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C9598C"/>
    <w:multiLevelType w:val="hybridMultilevel"/>
    <w:tmpl w:val="44A04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8D4A12"/>
    <w:multiLevelType w:val="hybridMultilevel"/>
    <w:tmpl w:val="5C661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9412314">
    <w:abstractNumId w:val="3"/>
  </w:num>
  <w:num w:numId="2" w16cid:durableId="1258371481">
    <w:abstractNumId w:val="1"/>
  </w:num>
  <w:num w:numId="3" w16cid:durableId="1240747119">
    <w:abstractNumId w:val="2"/>
  </w:num>
  <w:num w:numId="4" w16cid:durableId="497580552">
    <w:abstractNumId w:val="0"/>
  </w:num>
  <w:num w:numId="5" w16cid:durableId="1966420464">
    <w:abstractNumId w:val="8"/>
  </w:num>
  <w:num w:numId="6" w16cid:durableId="1096946865">
    <w:abstractNumId w:val="6"/>
  </w:num>
  <w:num w:numId="7" w16cid:durableId="151146079">
    <w:abstractNumId w:val="7"/>
  </w:num>
  <w:num w:numId="8" w16cid:durableId="1634017503">
    <w:abstractNumId w:val="9"/>
  </w:num>
  <w:num w:numId="9" w16cid:durableId="1997147659">
    <w:abstractNumId w:val="5"/>
  </w:num>
  <w:num w:numId="10" w16cid:durableId="804157203">
    <w:abstractNumId w:val="10"/>
  </w:num>
  <w:num w:numId="11" w16cid:durableId="14105447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209"/>
    <w:rsid w:val="00002750"/>
    <w:rsid w:val="00004137"/>
    <w:rsid w:val="00004A41"/>
    <w:rsid w:val="000078F7"/>
    <w:rsid w:val="00012305"/>
    <w:rsid w:val="000137F6"/>
    <w:rsid w:val="0002086C"/>
    <w:rsid w:val="0002153F"/>
    <w:rsid w:val="00021E40"/>
    <w:rsid w:val="00023AB3"/>
    <w:rsid w:val="000244F5"/>
    <w:rsid w:val="000247A5"/>
    <w:rsid w:val="00030509"/>
    <w:rsid w:val="00030EF3"/>
    <w:rsid w:val="00030F45"/>
    <w:rsid w:val="00030FA8"/>
    <w:rsid w:val="000346F2"/>
    <w:rsid w:val="000366C6"/>
    <w:rsid w:val="00037D08"/>
    <w:rsid w:val="00044AE9"/>
    <w:rsid w:val="00044F98"/>
    <w:rsid w:val="0004520D"/>
    <w:rsid w:val="00046CAA"/>
    <w:rsid w:val="00047442"/>
    <w:rsid w:val="00050C96"/>
    <w:rsid w:val="000512E9"/>
    <w:rsid w:val="00054280"/>
    <w:rsid w:val="00054DA9"/>
    <w:rsid w:val="00056960"/>
    <w:rsid w:val="000576C5"/>
    <w:rsid w:val="000636AC"/>
    <w:rsid w:val="0006375B"/>
    <w:rsid w:val="00063E30"/>
    <w:rsid w:val="000641E3"/>
    <w:rsid w:val="00064FED"/>
    <w:rsid w:val="00067513"/>
    <w:rsid w:val="00074D28"/>
    <w:rsid w:val="00075777"/>
    <w:rsid w:val="00076229"/>
    <w:rsid w:val="00077DCD"/>
    <w:rsid w:val="00080D39"/>
    <w:rsid w:val="00080DAD"/>
    <w:rsid w:val="000817C6"/>
    <w:rsid w:val="0008215A"/>
    <w:rsid w:val="00083F10"/>
    <w:rsid w:val="00084D4C"/>
    <w:rsid w:val="0008598B"/>
    <w:rsid w:val="0008745E"/>
    <w:rsid w:val="000879DB"/>
    <w:rsid w:val="00091FCB"/>
    <w:rsid w:val="00092BEA"/>
    <w:rsid w:val="00093EA0"/>
    <w:rsid w:val="00096BC7"/>
    <w:rsid w:val="000A00F2"/>
    <w:rsid w:val="000A1596"/>
    <w:rsid w:val="000A49D6"/>
    <w:rsid w:val="000A4D6C"/>
    <w:rsid w:val="000A5BE7"/>
    <w:rsid w:val="000B08AB"/>
    <w:rsid w:val="000B1230"/>
    <w:rsid w:val="000B50E9"/>
    <w:rsid w:val="000B577C"/>
    <w:rsid w:val="000C02EC"/>
    <w:rsid w:val="000C1979"/>
    <w:rsid w:val="000C35CB"/>
    <w:rsid w:val="000C4CB0"/>
    <w:rsid w:val="000C6480"/>
    <w:rsid w:val="000D003E"/>
    <w:rsid w:val="000D1A66"/>
    <w:rsid w:val="000D1F60"/>
    <w:rsid w:val="000D3485"/>
    <w:rsid w:val="000D3766"/>
    <w:rsid w:val="000D51DF"/>
    <w:rsid w:val="000E0AD0"/>
    <w:rsid w:val="000E1849"/>
    <w:rsid w:val="000E385B"/>
    <w:rsid w:val="000E4286"/>
    <w:rsid w:val="000E4298"/>
    <w:rsid w:val="000E4F10"/>
    <w:rsid w:val="000E6ED5"/>
    <w:rsid w:val="000F1298"/>
    <w:rsid w:val="000F539D"/>
    <w:rsid w:val="00102A11"/>
    <w:rsid w:val="00105071"/>
    <w:rsid w:val="001056DC"/>
    <w:rsid w:val="00105710"/>
    <w:rsid w:val="0011050A"/>
    <w:rsid w:val="00111606"/>
    <w:rsid w:val="0011223F"/>
    <w:rsid w:val="00116A4D"/>
    <w:rsid w:val="00116E9E"/>
    <w:rsid w:val="001179C4"/>
    <w:rsid w:val="00121481"/>
    <w:rsid w:val="00121566"/>
    <w:rsid w:val="0012394C"/>
    <w:rsid w:val="00124692"/>
    <w:rsid w:val="001257FE"/>
    <w:rsid w:val="0012603A"/>
    <w:rsid w:val="001275C5"/>
    <w:rsid w:val="00130FEE"/>
    <w:rsid w:val="001330C9"/>
    <w:rsid w:val="0013421D"/>
    <w:rsid w:val="00134D8E"/>
    <w:rsid w:val="00135590"/>
    <w:rsid w:val="00137570"/>
    <w:rsid w:val="00140461"/>
    <w:rsid w:val="0014053F"/>
    <w:rsid w:val="001437C3"/>
    <w:rsid w:val="00145F8A"/>
    <w:rsid w:val="001500A3"/>
    <w:rsid w:val="00155CFD"/>
    <w:rsid w:val="00155E43"/>
    <w:rsid w:val="001561BF"/>
    <w:rsid w:val="001578E9"/>
    <w:rsid w:val="00160785"/>
    <w:rsid w:val="001608F8"/>
    <w:rsid w:val="00160D4C"/>
    <w:rsid w:val="00160D95"/>
    <w:rsid w:val="001637C8"/>
    <w:rsid w:val="001642A3"/>
    <w:rsid w:val="0016562C"/>
    <w:rsid w:val="0016579E"/>
    <w:rsid w:val="0016700C"/>
    <w:rsid w:val="001671DF"/>
    <w:rsid w:val="0016775A"/>
    <w:rsid w:val="00167D4E"/>
    <w:rsid w:val="001714C0"/>
    <w:rsid w:val="001730A1"/>
    <w:rsid w:val="00173D0D"/>
    <w:rsid w:val="00174A49"/>
    <w:rsid w:val="0017501F"/>
    <w:rsid w:val="00175233"/>
    <w:rsid w:val="00175879"/>
    <w:rsid w:val="0017669F"/>
    <w:rsid w:val="001778E7"/>
    <w:rsid w:val="0018071A"/>
    <w:rsid w:val="001812AB"/>
    <w:rsid w:val="00182484"/>
    <w:rsid w:val="001827BA"/>
    <w:rsid w:val="00185F80"/>
    <w:rsid w:val="001865C7"/>
    <w:rsid w:val="00187914"/>
    <w:rsid w:val="00191C17"/>
    <w:rsid w:val="00194017"/>
    <w:rsid w:val="001955C3"/>
    <w:rsid w:val="0019642F"/>
    <w:rsid w:val="001A29A6"/>
    <w:rsid w:val="001A3274"/>
    <w:rsid w:val="001A34F1"/>
    <w:rsid w:val="001A441D"/>
    <w:rsid w:val="001A498A"/>
    <w:rsid w:val="001A79F1"/>
    <w:rsid w:val="001B15C9"/>
    <w:rsid w:val="001B3A62"/>
    <w:rsid w:val="001B5069"/>
    <w:rsid w:val="001B54BE"/>
    <w:rsid w:val="001B7E57"/>
    <w:rsid w:val="001C77DA"/>
    <w:rsid w:val="001D1473"/>
    <w:rsid w:val="001D699A"/>
    <w:rsid w:val="001E2AF2"/>
    <w:rsid w:val="001F18D2"/>
    <w:rsid w:val="001F5AA0"/>
    <w:rsid w:val="001F6ACE"/>
    <w:rsid w:val="00202274"/>
    <w:rsid w:val="00202D1F"/>
    <w:rsid w:val="0020616D"/>
    <w:rsid w:val="00211297"/>
    <w:rsid w:val="00211CD5"/>
    <w:rsid w:val="00211FCC"/>
    <w:rsid w:val="00213908"/>
    <w:rsid w:val="002148F6"/>
    <w:rsid w:val="00214E1F"/>
    <w:rsid w:val="00215917"/>
    <w:rsid w:val="00217ABD"/>
    <w:rsid w:val="00217C90"/>
    <w:rsid w:val="0022051F"/>
    <w:rsid w:val="00221A5D"/>
    <w:rsid w:val="002251C6"/>
    <w:rsid w:val="00225E57"/>
    <w:rsid w:val="00226300"/>
    <w:rsid w:val="00226651"/>
    <w:rsid w:val="002300C6"/>
    <w:rsid w:val="00233555"/>
    <w:rsid w:val="0023415C"/>
    <w:rsid w:val="0023570E"/>
    <w:rsid w:val="002474FC"/>
    <w:rsid w:val="00250435"/>
    <w:rsid w:val="00250BEF"/>
    <w:rsid w:val="00252542"/>
    <w:rsid w:val="0025289F"/>
    <w:rsid w:val="0025346A"/>
    <w:rsid w:val="0025458A"/>
    <w:rsid w:val="00257147"/>
    <w:rsid w:val="002572B2"/>
    <w:rsid w:val="002646C5"/>
    <w:rsid w:val="002666FF"/>
    <w:rsid w:val="002701A3"/>
    <w:rsid w:val="0027245A"/>
    <w:rsid w:val="00272D51"/>
    <w:rsid w:val="002745CC"/>
    <w:rsid w:val="00283125"/>
    <w:rsid w:val="00284167"/>
    <w:rsid w:val="002866E3"/>
    <w:rsid w:val="00287D1A"/>
    <w:rsid w:val="00287DEC"/>
    <w:rsid w:val="002928BB"/>
    <w:rsid w:val="00292D83"/>
    <w:rsid w:val="002950BC"/>
    <w:rsid w:val="0029583B"/>
    <w:rsid w:val="00297136"/>
    <w:rsid w:val="002A2D97"/>
    <w:rsid w:val="002A2EFF"/>
    <w:rsid w:val="002A3E6F"/>
    <w:rsid w:val="002A5C52"/>
    <w:rsid w:val="002A61E2"/>
    <w:rsid w:val="002A6905"/>
    <w:rsid w:val="002B0C65"/>
    <w:rsid w:val="002B4576"/>
    <w:rsid w:val="002B66C8"/>
    <w:rsid w:val="002C0F27"/>
    <w:rsid w:val="002C3108"/>
    <w:rsid w:val="002D2864"/>
    <w:rsid w:val="002D42C7"/>
    <w:rsid w:val="002D7300"/>
    <w:rsid w:val="002D7332"/>
    <w:rsid w:val="002D740D"/>
    <w:rsid w:val="002E3970"/>
    <w:rsid w:val="002E3D09"/>
    <w:rsid w:val="002E7415"/>
    <w:rsid w:val="002E773D"/>
    <w:rsid w:val="002F1A11"/>
    <w:rsid w:val="002F2C8F"/>
    <w:rsid w:val="002F68A6"/>
    <w:rsid w:val="003023E7"/>
    <w:rsid w:val="0030581A"/>
    <w:rsid w:val="00305C09"/>
    <w:rsid w:val="003062D5"/>
    <w:rsid w:val="00306A0B"/>
    <w:rsid w:val="003105EB"/>
    <w:rsid w:val="003110F5"/>
    <w:rsid w:val="00313F1F"/>
    <w:rsid w:val="00314332"/>
    <w:rsid w:val="00316426"/>
    <w:rsid w:val="003207A6"/>
    <w:rsid w:val="003216C2"/>
    <w:rsid w:val="00322DFA"/>
    <w:rsid w:val="00326935"/>
    <w:rsid w:val="0032721C"/>
    <w:rsid w:val="0032757C"/>
    <w:rsid w:val="00330ABC"/>
    <w:rsid w:val="003355EC"/>
    <w:rsid w:val="0033765E"/>
    <w:rsid w:val="00337D9E"/>
    <w:rsid w:val="00343436"/>
    <w:rsid w:val="00343604"/>
    <w:rsid w:val="003437DD"/>
    <w:rsid w:val="003460FC"/>
    <w:rsid w:val="0034753C"/>
    <w:rsid w:val="00347BF0"/>
    <w:rsid w:val="00350684"/>
    <w:rsid w:val="00352454"/>
    <w:rsid w:val="00352C7D"/>
    <w:rsid w:val="00354571"/>
    <w:rsid w:val="00354768"/>
    <w:rsid w:val="0035522F"/>
    <w:rsid w:val="00363782"/>
    <w:rsid w:val="00364BD4"/>
    <w:rsid w:val="00366DE3"/>
    <w:rsid w:val="00366E3D"/>
    <w:rsid w:val="00367C4D"/>
    <w:rsid w:val="003700F5"/>
    <w:rsid w:val="0037073A"/>
    <w:rsid w:val="00371856"/>
    <w:rsid w:val="0037239B"/>
    <w:rsid w:val="00375847"/>
    <w:rsid w:val="003767EC"/>
    <w:rsid w:val="0038118C"/>
    <w:rsid w:val="00381AFC"/>
    <w:rsid w:val="00384459"/>
    <w:rsid w:val="003847ED"/>
    <w:rsid w:val="00385DE1"/>
    <w:rsid w:val="00387878"/>
    <w:rsid w:val="003908AD"/>
    <w:rsid w:val="0039135A"/>
    <w:rsid w:val="003931AA"/>
    <w:rsid w:val="00393511"/>
    <w:rsid w:val="00394027"/>
    <w:rsid w:val="0039486C"/>
    <w:rsid w:val="00397400"/>
    <w:rsid w:val="003A0159"/>
    <w:rsid w:val="003A0E21"/>
    <w:rsid w:val="003A1210"/>
    <w:rsid w:val="003A1BA6"/>
    <w:rsid w:val="003A2C4B"/>
    <w:rsid w:val="003A4187"/>
    <w:rsid w:val="003A65EB"/>
    <w:rsid w:val="003A667F"/>
    <w:rsid w:val="003A7852"/>
    <w:rsid w:val="003B284D"/>
    <w:rsid w:val="003B3D52"/>
    <w:rsid w:val="003B4153"/>
    <w:rsid w:val="003B517B"/>
    <w:rsid w:val="003B6224"/>
    <w:rsid w:val="003B7C10"/>
    <w:rsid w:val="003C1528"/>
    <w:rsid w:val="003C3D03"/>
    <w:rsid w:val="003C3EED"/>
    <w:rsid w:val="003C4CCD"/>
    <w:rsid w:val="003C63A5"/>
    <w:rsid w:val="003C7211"/>
    <w:rsid w:val="003D082D"/>
    <w:rsid w:val="003D0F3F"/>
    <w:rsid w:val="003D1D50"/>
    <w:rsid w:val="003D2978"/>
    <w:rsid w:val="003D421B"/>
    <w:rsid w:val="003D539A"/>
    <w:rsid w:val="003D6764"/>
    <w:rsid w:val="003E0604"/>
    <w:rsid w:val="003E0ED4"/>
    <w:rsid w:val="003E16BC"/>
    <w:rsid w:val="003E21ED"/>
    <w:rsid w:val="003E374D"/>
    <w:rsid w:val="003E5780"/>
    <w:rsid w:val="003E729E"/>
    <w:rsid w:val="003F0F6A"/>
    <w:rsid w:val="003F374E"/>
    <w:rsid w:val="003F5859"/>
    <w:rsid w:val="003F58C1"/>
    <w:rsid w:val="003F7C7E"/>
    <w:rsid w:val="00403685"/>
    <w:rsid w:val="00404EE8"/>
    <w:rsid w:val="00405A98"/>
    <w:rsid w:val="00410B0E"/>
    <w:rsid w:val="00412A5A"/>
    <w:rsid w:val="00417C73"/>
    <w:rsid w:val="004210F8"/>
    <w:rsid w:val="00422514"/>
    <w:rsid w:val="004229CB"/>
    <w:rsid w:val="00422FED"/>
    <w:rsid w:val="00424FA7"/>
    <w:rsid w:val="004304D9"/>
    <w:rsid w:val="004371AE"/>
    <w:rsid w:val="00437446"/>
    <w:rsid w:val="00437C00"/>
    <w:rsid w:val="0044401E"/>
    <w:rsid w:val="0044410D"/>
    <w:rsid w:val="00450FDE"/>
    <w:rsid w:val="00453B98"/>
    <w:rsid w:val="0045476A"/>
    <w:rsid w:val="00454D58"/>
    <w:rsid w:val="0045554E"/>
    <w:rsid w:val="004561E5"/>
    <w:rsid w:val="00457104"/>
    <w:rsid w:val="00461798"/>
    <w:rsid w:val="00463A0E"/>
    <w:rsid w:val="004653A1"/>
    <w:rsid w:val="00467B0F"/>
    <w:rsid w:val="00470180"/>
    <w:rsid w:val="00470BF1"/>
    <w:rsid w:val="004730A6"/>
    <w:rsid w:val="00473A1B"/>
    <w:rsid w:val="00473F5B"/>
    <w:rsid w:val="00476354"/>
    <w:rsid w:val="00476E97"/>
    <w:rsid w:val="0048477B"/>
    <w:rsid w:val="00485D51"/>
    <w:rsid w:val="00486176"/>
    <w:rsid w:val="004911C3"/>
    <w:rsid w:val="00493115"/>
    <w:rsid w:val="0049479E"/>
    <w:rsid w:val="00495AD8"/>
    <w:rsid w:val="00496023"/>
    <w:rsid w:val="004A136E"/>
    <w:rsid w:val="004A3198"/>
    <w:rsid w:val="004A5383"/>
    <w:rsid w:val="004B0D79"/>
    <w:rsid w:val="004B1D54"/>
    <w:rsid w:val="004B202B"/>
    <w:rsid w:val="004B2A11"/>
    <w:rsid w:val="004B3BC6"/>
    <w:rsid w:val="004B4F87"/>
    <w:rsid w:val="004B5C63"/>
    <w:rsid w:val="004B79EB"/>
    <w:rsid w:val="004C36E8"/>
    <w:rsid w:val="004C39DB"/>
    <w:rsid w:val="004C6179"/>
    <w:rsid w:val="004C6E57"/>
    <w:rsid w:val="004C769F"/>
    <w:rsid w:val="004D0F84"/>
    <w:rsid w:val="004D1762"/>
    <w:rsid w:val="004D2978"/>
    <w:rsid w:val="004D3DED"/>
    <w:rsid w:val="004D5563"/>
    <w:rsid w:val="004D663B"/>
    <w:rsid w:val="004E0EA7"/>
    <w:rsid w:val="004E0FD8"/>
    <w:rsid w:val="004E3667"/>
    <w:rsid w:val="004E7262"/>
    <w:rsid w:val="004E77BE"/>
    <w:rsid w:val="004E7CAD"/>
    <w:rsid w:val="004F0893"/>
    <w:rsid w:val="004F7A90"/>
    <w:rsid w:val="00500F1F"/>
    <w:rsid w:val="00504215"/>
    <w:rsid w:val="00505767"/>
    <w:rsid w:val="00505E82"/>
    <w:rsid w:val="0051165B"/>
    <w:rsid w:val="00512F31"/>
    <w:rsid w:val="0051322C"/>
    <w:rsid w:val="00513969"/>
    <w:rsid w:val="00521A22"/>
    <w:rsid w:val="00522806"/>
    <w:rsid w:val="00522B13"/>
    <w:rsid w:val="00525FE9"/>
    <w:rsid w:val="00533D2C"/>
    <w:rsid w:val="00537F09"/>
    <w:rsid w:val="00540FD9"/>
    <w:rsid w:val="00541E60"/>
    <w:rsid w:val="00545C1D"/>
    <w:rsid w:val="00546813"/>
    <w:rsid w:val="0054703D"/>
    <w:rsid w:val="00547468"/>
    <w:rsid w:val="0055187E"/>
    <w:rsid w:val="00551E03"/>
    <w:rsid w:val="0055413C"/>
    <w:rsid w:val="005559CA"/>
    <w:rsid w:val="005578B1"/>
    <w:rsid w:val="00564D8F"/>
    <w:rsid w:val="0056599A"/>
    <w:rsid w:val="00565F8D"/>
    <w:rsid w:val="00566AC6"/>
    <w:rsid w:val="00566C76"/>
    <w:rsid w:val="00566DD9"/>
    <w:rsid w:val="00566E66"/>
    <w:rsid w:val="00573657"/>
    <w:rsid w:val="00575C2E"/>
    <w:rsid w:val="005809CB"/>
    <w:rsid w:val="00582DD0"/>
    <w:rsid w:val="00587BCF"/>
    <w:rsid w:val="0059015C"/>
    <w:rsid w:val="005948E5"/>
    <w:rsid w:val="00596A3B"/>
    <w:rsid w:val="005974BF"/>
    <w:rsid w:val="00597803"/>
    <w:rsid w:val="005A045A"/>
    <w:rsid w:val="005A3CA5"/>
    <w:rsid w:val="005B02D0"/>
    <w:rsid w:val="005B2BA4"/>
    <w:rsid w:val="005B2F1E"/>
    <w:rsid w:val="005B376D"/>
    <w:rsid w:val="005B3B02"/>
    <w:rsid w:val="005B55C6"/>
    <w:rsid w:val="005B711B"/>
    <w:rsid w:val="005C4345"/>
    <w:rsid w:val="005C4ABF"/>
    <w:rsid w:val="005C781C"/>
    <w:rsid w:val="005D0CC4"/>
    <w:rsid w:val="005D7534"/>
    <w:rsid w:val="005D7FBA"/>
    <w:rsid w:val="005E2590"/>
    <w:rsid w:val="005E432F"/>
    <w:rsid w:val="005E50F9"/>
    <w:rsid w:val="005F1E38"/>
    <w:rsid w:val="005F7016"/>
    <w:rsid w:val="0060217E"/>
    <w:rsid w:val="00611EAF"/>
    <w:rsid w:val="00614630"/>
    <w:rsid w:val="00615E17"/>
    <w:rsid w:val="00615FE2"/>
    <w:rsid w:val="00616564"/>
    <w:rsid w:val="00616AE4"/>
    <w:rsid w:val="006171E4"/>
    <w:rsid w:val="00622A58"/>
    <w:rsid w:val="00623423"/>
    <w:rsid w:val="00623D65"/>
    <w:rsid w:val="00624B54"/>
    <w:rsid w:val="006267EB"/>
    <w:rsid w:val="00630584"/>
    <w:rsid w:val="00633288"/>
    <w:rsid w:val="00633712"/>
    <w:rsid w:val="00635C2E"/>
    <w:rsid w:val="0063799F"/>
    <w:rsid w:val="00640544"/>
    <w:rsid w:val="006419BA"/>
    <w:rsid w:val="00642392"/>
    <w:rsid w:val="006428EF"/>
    <w:rsid w:val="00646C1C"/>
    <w:rsid w:val="00650D7F"/>
    <w:rsid w:val="00653892"/>
    <w:rsid w:val="00654980"/>
    <w:rsid w:val="00655C57"/>
    <w:rsid w:val="00656E9E"/>
    <w:rsid w:val="00657050"/>
    <w:rsid w:val="0065799F"/>
    <w:rsid w:val="006609CE"/>
    <w:rsid w:val="0066100F"/>
    <w:rsid w:val="0066244B"/>
    <w:rsid w:val="006625A8"/>
    <w:rsid w:val="00664785"/>
    <w:rsid w:val="00664AF8"/>
    <w:rsid w:val="00665BE7"/>
    <w:rsid w:val="00666E19"/>
    <w:rsid w:val="00667A6C"/>
    <w:rsid w:val="006704C8"/>
    <w:rsid w:val="00671DE6"/>
    <w:rsid w:val="00673154"/>
    <w:rsid w:val="00675BDB"/>
    <w:rsid w:val="006762F6"/>
    <w:rsid w:val="00677256"/>
    <w:rsid w:val="00687C94"/>
    <w:rsid w:val="00691F9F"/>
    <w:rsid w:val="00692072"/>
    <w:rsid w:val="00693383"/>
    <w:rsid w:val="006946AF"/>
    <w:rsid w:val="006975D5"/>
    <w:rsid w:val="006A24CF"/>
    <w:rsid w:val="006A2559"/>
    <w:rsid w:val="006A5982"/>
    <w:rsid w:val="006A6F2B"/>
    <w:rsid w:val="006B01C1"/>
    <w:rsid w:val="006B022A"/>
    <w:rsid w:val="006B2104"/>
    <w:rsid w:val="006B25D1"/>
    <w:rsid w:val="006B39D7"/>
    <w:rsid w:val="006B56F7"/>
    <w:rsid w:val="006B6D81"/>
    <w:rsid w:val="006C034C"/>
    <w:rsid w:val="006C55AC"/>
    <w:rsid w:val="006C7B70"/>
    <w:rsid w:val="006D4588"/>
    <w:rsid w:val="006E1201"/>
    <w:rsid w:val="006E164A"/>
    <w:rsid w:val="006E2972"/>
    <w:rsid w:val="006E3952"/>
    <w:rsid w:val="006E7763"/>
    <w:rsid w:val="006E79D4"/>
    <w:rsid w:val="006F2BB3"/>
    <w:rsid w:val="006F4055"/>
    <w:rsid w:val="006F52CD"/>
    <w:rsid w:val="006F5D74"/>
    <w:rsid w:val="006F66A3"/>
    <w:rsid w:val="006F7C1F"/>
    <w:rsid w:val="00700683"/>
    <w:rsid w:val="00700E40"/>
    <w:rsid w:val="00701AA9"/>
    <w:rsid w:val="007053C7"/>
    <w:rsid w:val="007066CB"/>
    <w:rsid w:val="007077E9"/>
    <w:rsid w:val="00707F2E"/>
    <w:rsid w:val="00710067"/>
    <w:rsid w:val="00713F47"/>
    <w:rsid w:val="00715006"/>
    <w:rsid w:val="007151C3"/>
    <w:rsid w:val="00715C5E"/>
    <w:rsid w:val="007169B4"/>
    <w:rsid w:val="00716CA8"/>
    <w:rsid w:val="007216C5"/>
    <w:rsid w:val="00721794"/>
    <w:rsid w:val="00722853"/>
    <w:rsid w:val="00722FA8"/>
    <w:rsid w:val="00731018"/>
    <w:rsid w:val="00733DF8"/>
    <w:rsid w:val="00734E1A"/>
    <w:rsid w:val="00734FC5"/>
    <w:rsid w:val="007351F4"/>
    <w:rsid w:val="00737377"/>
    <w:rsid w:val="00737752"/>
    <w:rsid w:val="007413CF"/>
    <w:rsid w:val="007431E8"/>
    <w:rsid w:val="007450B9"/>
    <w:rsid w:val="00745D1B"/>
    <w:rsid w:val="00747AC2"/>
    <w:rsid w:val="00747F13"/>
    <w:rsid w:val="00750CED"/>
    <w:rsid w:val="00752009"/>
    <w:rsid w:val="0075270E"/>
    <w:rsid w:val="00752C1D"/>
    <w:rsid w:val="00761FFB"/>
    <w:rsid w:val="0076532C"/>
    <w:rsid w:val="00766C74"/>
    <w:rsid w:val="00767383"/>
    <w:rsid w:val="0076749F"/>
    <w:rsid w:val="007704B3"/>
    <w:rsid w:val="0077080C"/>
    <w:rsid w:val="00771392"/>
    <w:rsid w:val="0077217F"/>
    <w:rsid w:val="00772633"/>
    <w:rsid w:val="00773C7F"/>
    <w:rsid w:val="007771AC"/>
    <w:rsid w:val="007807E8"/>
    <w:rsid w:val="00782C0D"/>
    <w:rsid w:val="00784C26"/>
    <w:rsid w:val="00786B68"/>
    <w:rsid w:val="00786D65"/>
    <w:rsid w:val="007908F0"/>
    <w:rsid w:val="0079241A"/>
    <w:rsid w:val="00793311"/>
    <w:rsid w:val="00795DD3"/>
    <w:rsid w:val="007962AD"/>
    <w:rsid w:val="0079699F"/>
    <w:rsid w:val="0079791F"/>
    <w:rsid w:val="007A159D"/>
    <w:rsid w:val="007A5FD9"/>
    <w:rsid w:val="007B163D"/>
    <w:rsid w:val="007B28FD"/>
    <w:rsid w:val="007B64DC"/>
    <w:rsid w:val="007B6678"/>
    <w:rsid w:val="007B6794"/>
    <w:rsid w:val="007B69CA"/>
    <w:rsid w:val="007B7AA6"/>
    <w:rsid w:val="007B7BA7"/>
    <w:rsid w:val="007C0E18"/>
    <w:rsid w:val="007D26C7"/>
    <w:rsid w:val="007D2F1B"/>
    <w:rsid w:val="007D3147"/>
    <w:rsid w:val="007D3402"/>
    <w:rsid w:val="007D3A1E"/>
    <w:rsid w:val="007D56F5"/>
    <w:rsid w:val="007D676C"/>
    <w:rsid w:val="007D7E46"/>
    <w:rsid w:val="007E0FAD"/>
    <w:rsid w:val="007E1787"/>
    <w:rsid w:val="007E19E9"/>
    <w:rsid w:val="007E4284"/>
    <w:rsid w:val="007F025D"/>
    <w:rsid w:val="007F19D4"/>
    <w:rsid w:val="007F257C"/>
    <w:rsid w:val="007F30B7"/>
    <w:rsid w:val="007F3B4A"/>
    <w:rsid w:val="007F6625"/>
    <w:rsid w:val="007F7CDC"/>
    <w:rsid w:val="008077D9"/>
    <w:rsid w:val="00810A10"/>
    <w:rsid w:val="0081106D"/>
    <w:rsid w:val="00812816"/>
    <w:rsid w:val="0081323D"/>
    <w:rsid w:val="0081393C"/>
    <w:rsid w:val="008146C5"/>
    <w:rsid w:val="008167CB"/>
    <w:rsid w:val="00816D61"/>
    <w:rsid w:val="00820127"/>
    <w:rsid w:val="00820408"/>
    <w:rsid w:val="0082209B"/>
    <w:rsid w:val="00822944"/>
    <w:rsid w:val="00823428"/>
    <w:rsid w:val="00824566"/>
    <w:rsid w:val="00824685"/>
    <w:rsid w:val="0082564E"/>
    <w:rsid w:val="008257B2"/>
    <w:rsid w:val="008354EC"/>
    <w:rsid w:val="00836D18"/>
    <w:rsid w:val="008412E5"/>
    <w:rsid w:val="0084245A"/>
    <w:rsid w:val="008437C7"/>
    <w:rsid w:val="00843F5E"/>
    <w:rsid w:val="008441F9"/>
    <w:rsid w:val="00844945"/>
    <w:rsid w:val="00845770"/>
    <w:rsid w:val="008458E8"/>
    <w:rsid w:val="00847EDE"/>
    <w:rsid w:val="008501C5"/>
    <w:rsid w:val="00852818"/>
    <w:rsid w:val="008534E3"/>
    <w:rsid w:val="008537E3"/>
    <w:rsid w:val="008573EC"/>
    <w:rsid w:val="00860214"/>
    <w:rsid w:val="00860578"/>
    <w:rsid w:val="00860606"/>
    <w:rsid w:val="0086163E"/>
    <w:rsid w:val="0086189B"/>
    <w:rsid w:val="00863833"/>
    <w:rsid w:val="008638C0"/>
    <w:rsid w:val="00866A3B"/>
    <w:rsid w:val="00866C6A"/>
    <w:rsid w:val="00871321"/>
    <w:rsid w:val="00872647"/>
    <w:rsid w:val="00873D54"/>
    <w:rsid w:val="0087553E"/>
    <w:rsid w:val="00876E8A"/>
    <w:rsid w:val="00877037"/>
    <w:rsid w:val="00881A8B"/>
    <w:rsid w:val="0088244F"/>
    <w:rsid w:val="0088286A"/>
    <w:rsid w:val="00882D09"/>
    <w:rsid w:val="008863E6"/>
    <w:rsid w:val="00892E72"/>
    <w:rsid w:val="008935A6"/>
    <w:rsid w:val="0089473C"/>
    <w:rsid w:val="00895424"/>
    <w:rsid w:val="0089658C"/>
    <w:rsid w:val="008A0DF4"/>
    <w:rsid w:val="008A2DC8"/>
    <w:rsid w:val="008A4BE2"/>
    <w:rsid w:val="008A6012"/>
    <w:rsid w:val="008B224F"/>
    <w:rsid w:val="008B234E"/>
    <w:rsid w:val="008B255F"/>
    <w:rsid w:val="008B29A0"/>
    <w:rsid w:val="008B2EE4"/>
    <w:rsid w:val="008B34BE"/>
    <w:rsid w:val="008B3950"/>
    <w:rsid w:val="008B4B19"/>
    <w:rsid w:val="008B4C6D"/>
    <w:rsid w:val="008B4F08"/>
    <w:rsid w:val="008B53F7"/>
    <w:rsid w:val="008B5D34"/>
    <w:rsid w:val="008B725B"/>
    <w:rsid w:val="008B732E"/>
    <w:rsid w:val="008C1067"/>
    <w:rsid w:val="008C130B"/>
    <w:rsid w:val="008C1679"/>
    <w:rsid w:val="008C1B8B"/>
    <w:rsid w:val="008C5806"/>
    <w:rsid w:val="008C673F"/>
    <w:rsid w:val="008C79A9"/>
    <w:rsid w:val="008D3952"/>
    <w:rsid w:val="008D471C"/>
    <w:rsid w:val="008D6D56"/>
    <w:rsid w:val="008D704E"/>
    <w:rsid w:val="008D7C24"/>
    <w:rsid w:val="008E004E"/>
    <w:rsid w:val="008E1A44"/>
    <w:rsid w:val="008E3F1A"/>
    <w:rsid w:val="008E4598"/>
    <w:rsid w:val="008E45F9"/>
    <w:rsid w:val="008E4A43"/>
    <w:rsid w:val="008E5264"/>
    <w:rsid w:val="008E6320"/>
    <w:rsid w:val="008E7AC2"/>
    <w:rsid w:val="008F1788"/>
    <w:rsid w:val="008F1C9D"/>
    <w:rsid w:val="008F1F8E"/>
    <w:rsid w:val="008F2DC6"/>
    <w:rsid w:val="008F30AC"/>
    <w:rsid w:val="008F737C"/>
    <w:rsid w:val="00900116"/>
    <w:rsid w:val="00900209"/>
    <w:rsid w:val="009008F2"/>
    <w:rsid w:val="009021F6"/>
    <w:rsid w:val="009065C2"/>
    <w:rsid w:val="00907DD0"/>
    <w:rsid w:val="009100E5"/>
    <w:rsid w:val="00910F2F"/>
    <w:rsid w:val="009116A3"/>
    <w:rsid w:val="00911C2C"/>
    <w:rsid w:val="00911DE9"/>
    <w:rsid w:val="00911EB5"/>
    <w:rsid w:val="0091583F"/>
    <w:rsid w:val="009166E0"/>
    <w:rsid w:val="00917F5F"/>
    <w:rsid w:val="0092262D"/>
    <w:rsid w:val="00923636"/>
    <w:rsid w:val="00923F9A"/>
    <w:rsid w:val="00925C44"/>
    <w:rsid w:val="00925EC6"/>
    <w:rsid w:val="0092671C"/>
    <w:rsid w:val="00926A6E"/>
    <w:rsid w:val="00927EAB"/>
    <w:rsid w:val="00930092"/>
    <w:rsid w:val="009316FA"/>
    <w:rsid w:val="00934FB5"/>
    <w:rsid w:val="00936639"/>
    <w:rsid w:val="00936C2A"/>
    <w:rsid w:val="00936DF3"/>
    <w:rsid w:val="00937805"/>
    <w:rsid w:val="00941FD0"/>
    <w:rsid w:val="00946774"/>
    <w:rsid w:val="00952A58"/>
    <w:rsid w:val="00953B25"/>
    <w:rsid w:val="00955265"/>
    <w:rsid w:val="0095777A"/>
    <w:rsid w:val="009607F3"/>
    <w:rsid w:val="009623C9"/>
    <w:rsid w:val="00962B2F"/>
    <w:rsid w:val="00963688"/>
    <w:rsid w:val="0096384B"/>
    <w:rsid w:val="00966340"/>
    <w:rsid w:val="0096655B"/>
    <w:rsid w:val="009679CB"/>
    <w:rsid w:val="00967A0E"/>
    <w:rsid w:val="0097078A"/>
    <w:rsid w:val="00971C74"/>
    <w:rsid w:val="009727D9"/>
    <w:rsid w:val="009739E1"/>
    <w:rsid w:val="00973B9C"/>
    <w:rsid w:val="00974612"/>
    <w:rsid w:val="009803D4"/>
    <w:rsid w:val="0098046E"/>
    <w:rsid w:val="00980FA1"/>
    <w:rsid w:val="00981532"/>
    <w:rsid w:val="009825F8"/>
    <w:rsid w:val="00982AD4"/>
    <w:rsid w:val="00984635"/>
    <w:rsid w:val="00984C4F"/>
    <w:rsid w:val="00984CD2"/>
    <w:rsid w:val="009853A5"/>
    <w:rsid w:val="00985657"/>
    <w:rsid w:val="009857FE"/>
    <w:rsid w:val="00985D2E"/>
    <w:rsid w:val="009864A1"/>
    <w:rsid w:val="00986534"/>
    <w:rsid w:val="009911EE"/>
    <w:rsid w:val="00992182"/>
    <w:rsid w:val="00993024"/>
    <w:rsid w:val="00994184"/>
    <w:rsid w:val="009A0017"/>
    <w:rsid w:val="009A24A8"/>
    <w:rsid w:val="009A2DA9"/>
    <w:rsid w:val="009A3C8D"/>
    <w:rsid w:val="009A3E22"/>
    <w:rsid w:val="009A61FB"/>
    <w:rsid w:val="009A715A"/>
    <w:rsid w:val="009A7AF6"/>
    <w:rsid w:val="009B0327"/>
    <w:rsid w:val="009B1BA5"/>
    <w:rsid w:val="009B3741"/>
    <w:rsid w:val="009B5D70"/>
    <w:rsid w:val="009C15C5"/>
    <w:rsid w:val="009C1CE7"/>
    <w:rsid w:val="009C1F36"/>
    <w:rsid w:val="009C2D99"/>
    <w:rsid w:val="009C405D"/>
    <w:rsid w:val="009C4550"/>
    <w:rsid w:val="009D04AD"/>
    <w:rsid w:val="009D171F"/>
    <w:rsid w:val="009D2726"/>
    <w:rsid w:val="009D28A2"/>
    <w:rsid w:val="009D3136"/>
    <w:rsid w:val="009D4E40"/>
    <w:rsid w:val="009D5D01"/>
    <w:rsid w:val="009D68CD"/>
    <w:rsid w:val="009E1FD7"/>
    <w:rsid w:val="009E2582"/>
    <w:rsid w:val="009E26C9"/>
    <w:rsid w:val="009E50BE"/>
    <w:rsid w:val="009E5760"/>
    <w:rsid w:val="009E79BA"/>
    <w:rsid w:val="009E7AF5"/>
    <w:rsid w:val="009F0B58"/>
    <w:rsid w:val="009F0D5D"/>
    <w:rsid w:val="009F2A9A"/>
    <w:rsid w:val="009F5D06"/>
    <w:rsid w:val="009F63A7"/>
    <w:rsid w:val="00A00688"/>
    <w:rsid w:val="00A015F9"/>
    <w:rsid w:val="00A0230B"/>
    <w:rsid w:val="00A043E7"/>
    <w:rsid w:val="00A04C98"/>
    <w:rsid w:val="00A04D96"/>
    <w:rsid w:val="00A0579C"/>
    <w:rsid w:val="00A058E2"/>
    <w:rsid w:val="00A07114"/>
    <w:rsid w:val="00A078C4"/>
    <w:rsid w:val="00A10648"/>
    <w:rsid w:val="00A11BEC"/>
    <w:rsid w:val="00A1257B"/>
    <w:rsid w:val="00A1344E"/>
    <w:rsid w:val="00A1615E"/>
    <w:rsid w:val="00A177B3"/>
    <w:rsid w:val="00A22581"/>
    <w:rsid w:val="00A2388F"/>
    <w:rsid w:val="00A23FB4"/>
    <w:rsid w:val="00A252CA"/>
    <w:rsid w:val="00A26F38"/>
    <w:rsid w:val="00A31E89"/>
    <w:rsid w:val="00A37037"/>
    <w:rsid w:val="00A402CE"/>
    <w:rsid w:val="00A40AAC"/>
    <w:rsid w:val="00A4211C"/>
    <w:rsid w:val="00A42BB5"/>
    <w:rsid w:val="00A438F2"/>
    <w:rsid w:val="00A43EA2"/>
    <w:rsid w:val="00A44C9C"/>
    <w:rsid w:val="00A53F96"/>
    <w:rsid w:val="00A56523"/>
    <w:rsid w:val="00A607C2"/>
    <w:rsid w:val="00A610D6"/>
    <w:rsid w:val="00A62F59"/>
    <w:rsid w:val="00A655C4"/>
    <w:rsid w:val="00A67083"/>
    <w:rsid w:val="00A726C4"/>
    <w:rsid w:val="00A73DC9"/>
    <w:rsid w:val="00A74755"/>
    <w:rsid w:val="00A74B85"/>
    <w:rsid w:val="00A7627D"/>
    <w:rsid w:val="00A7700E"/>
    <w:rsid w:val="00A77848"/>
    <w:rsid w:val="00A86235"/>
    <w:rsid w:val="00A917EE"/>
    <w:rsid w:val="00A94E13"/>
    <w:rsid w:val="00A968FA"/>
    <w:rsid w:val="00AA2591"/>
    <w:rsid w:val="00AA4CE3"/>
    <w:rsid w:val="00AA4D71"/>
    <w:rsid w:val="00AB2D9C"/>
    <w:rsid w:val="00AB45C3"/>
    <w:rsid w:val="00AC0D65"/>
    <w:rsid w:val="00AC1725"/>
    <w:rsid w:val="00AC2477"/>
    <w:rsid w:val="00AC3C9F"/>
    <w:rsid w:val="00AC4E52"/>
    <w:rsid w:val="00AC6AF5"/>
    <w:rsid w:val="00AC7037"/>
    <w:rsid w:val="00AC7326"/>
    <w:rsid w:val="00AD1949"/>
    <w:rsid w:val="00AD21CD"/>
    <w:rsid w:val="00AD4B47"/>
    <w:rsid w:val="00AD58B6"/>
    <w:rsid w:val="00AE00C6"/>
    <w:rsid w:val="00AE2735"/>
    <w:rsid w:val="00AE29E0"/>
    <w:rsid w:val="00AE323A"/>
    <w:rsid w:val="00AE4CDC"/>
    <w:rsid w:val="00AE4E6C"/>
    <w:rsid w:val="00AE6461"/>
    <w:rsid w:val="00AE772B"/>
    <w:rsid w:val="00AF64D9"/>
    <w:rsid w:val="00AF7A59"/>
    <w:rsid w:val="00B00B55"/>
    <w:rsid w:val="00B01CA5"/>
    <w:rsid w:val="00B0296A"/>
    <w:rsid w:val="00B10A52"/>
    <w:rsid w:val="00B12184"/>
    <w:rsid w:val="00B173ED"/>
    <w:rsid w:val="00B200AA"/>
    <w:rsid w:val="00B20575"/>
    <w:rsid w:val="00B209D3"/>
    <w:rsid w:val="00B21240"/>
    <w:rsid w:val="00B226C8"/>
    <w:rsid w:val="00B25758"/>
    <w:rsid w:val="00B259E8"/>
    <w:rsid w:val="00B25C37"/>
    <w:rsid w:val="00B26365"/>
    <w:rsid w:val="00B278F3"/>
    <w:rsid w:val="00B31606"/>
    <w:rsid w:val="00B33BB9"/>
    <w:rsid w:val="00B368CC"/>
    <w:rsid w:val="00B43F28"/>
    <w:rsid w:val="00B451B5"/>
    <w:rsid w:val="00B45935"/>
    <w:rsid w:val="00B462C6"/>
    <w:rsid w:val="00B50CEC"/>
    <w:rsid w:val="00B54D24"/>
    <w:rsid w:val="00B55143"/>
    <w:rsid w:val="00B55C1E"/>
    <w:rsid w:val="00B579EC"/>
    <w:rsid w:val="00B602AC"/>
    <w:rsid w:val="00B614DB"/>
    <w:rsid w:val="00B63834"/>
    <w:rsid w:val="00B6417C"/>
    <w:rsid w:val="00B65542"/>
    <w:rsid w:val="00B71EEB"/>
    <w:rsid w:val="00B72272"/>
    <w:rsid w:val="00B75BBC"/>
    <w:rsid w:val="00B75D16"/>
    <w:rsid w:val="00B768ED"/>
    <w:rsid w:val="00B7703E"/>
    <w:rsid w:val="00B771BA"/>
    <w:rsid w:val="00B8052C"/>
    <w:rsid w:val="00B817BF"/>
    <w:rsid w:val="00B823AB"/>
    <w:rsid w:val="00B845AE"/>
    <w:rsid w:val="00B902BC"/>
    <w:rsid w:val="00B91196"/>
    <w:rsid w:val="00B91CD8"/>
    <w:rsid w:val="00B91D54"/>
    <w:rsid w:val="00B9258C"/>
    <w:rsid w:val="00B95C0D"/>
    <w:rsid w:val="00B9623E"/>
    <w:rsid w:val="00B96F7D"/>
    <w:rsid w:val="00BA0E4F"/>
    <w:rsid w:val="00BA1A75"/>
    <w:rsid w:val="00BA1F1D"/>
    <w:rsid w:val="00BA2F9B"/>
    <w:rsid w:val="00BA7477"/>
    <w:rsid w:val="00BB761B"/>
    <w:rsid w:val="00BB7DC9"/>
    <w:rsid w:val="00BC1D14"/>
    <w:rsid w:val="00BC312A"/>
    <w:rsid w:val="00BC4336"/>
    <w:rsid w:val="00BC4F82"/>
    <w:rsid w:val="00BC65E4"/>
    <w:rsid w:val="00BC6A1F"/>
    <w:rsid w:val="00BC7091"/>
    <w:rsid w:val="00BC715A"/>
    <w:rsid w:val="00BC7C0C"/>
    <w:rsid w:val="00BD0AEB"/>
    <w:rsid w:val="00BD1F63"/>
    <w:rsid w:val="00BD2BB3"/>
    <w:rsid w:val="00BD2CFB"/>
    <w:rsid w:val="00BD5CD7"/>
    <w:rsid w:val="00BD6907"/>
    <w:rsid w:val="00BE555F"/>
    <w:rsid w:val="00BF2311"/>
    <w:rsid w:val="00BF329D"/>
    <w:rsid w:val="00BF4B12"/>
    <w:rsid w:val="00BF6764"/>
    <w:rsid w:val="00BF7D4F"/>
    <w:rsid w:val="00C02E57"/>
    <w:rsid w:val="00C0411C"/>
    <w:rsid w:val="00C0487C"/>
    <w:rsid w:val="00C05977"/>
    <w:rsid w:val="00C07B90"/>
    <w:rsid w:val="00C11114"/>
    <w:rsid w:val="00C12916"/>
    <w:rsid w:val="00C1717E"/>
    <w:rsid w:val="00C17AB2"/>
    <w:rsid w:val="00C17D18"/>
    <w:rsid w:val="00C21424"/>
    <w:rsid w:val="00C22218"/>
    <w:rsid w:val="00C24191"/>
    <w:rsid w:val="00C25036"/>
    <w:rsid w:val="00C27793"/>
    <w:rsid w:val="00C3097C"/>
    <w:rsid w:val="00C318AB"/>
    <w:rsid w:val="00C338E3"/>
    <w:rsid w:val="00C36151"/>
    <w:rsid w:val="00C36841"/>
    <w:rsid w:val="00C418C5"/>
    <w:rsid w:val="00C41DFF"/>
    <w:rsid w:val="00C42999"/>
    <w:rsid w:val="00C45CAA"/>
    <w:rsid w:val="00C5393F"/>
    <w:rsid w:val="00C5720D"/>
    <w:rsid w:val="00C57E6B"/>
    <w:rsid w:val="00C604C8"/>
    <w:rsid w:val="00C632D3"/>
    <w:rsid w:val="00C64EE1"/>
    <w:rsid w:val="00C64F6B"/>
    <w:rsid w:val="00C65096"/>
    <w:rsid w:val="00C66982"/>
    <w:rsid w:val="00C71729"/>
    <w:rsid w:val="00C71FFC"/>
    <w:rsid w:val="00C72C73"/>
    <w:rsid w:val="00C72C91"/>
    <w:rsid w:val="00C72CAC"/>
    <w:rsid w:val="00C7348E"/>
    <w:rsid w:val="00C75338"/>
    <w:rsid w:val="00C76290"/>
    <w:rsid w:val="00C779D9"/>
    <w:rsid w:val="00C81CB7"/>
    <w:rsid w:val="00C8424E"/>
    <w:rsid w:val="00C84FFD"/>
    <w:rsid w:val="00C860C1"/>
    <w:rsid w:val="00C86436"/>
    <w:rsid w:val="00C920A0"/>
    <w:rsid w:val="00C931AA"/>
    <w:rsid w:val="00C96395"/>
    <w:rsid w:val="00CA246B"/>
    <w:rsid w:val="00CA2C8A"/>
    <w:rsid w:val="00CA3354"/>
    <w:rsid w:val="00CA3723"/>
    <w:rsid w:val="00CA3D94"/>
    <w:rsid w:val="00CA43B3"/>
    <w:rsid w:val="00CB1565"/>
    <w:rsid w:val="00CB3A00"/>
    <w:rsid w:val="00CB5312"/>
    <w:rsid w:val="00CB5595"/>
    <w:rsid w:val="00CC1D86"/>
    <w:rsid w:val="00CC27B4"/>
    <w:rsid w:val="00CC42CE"/>
    <w:rsid w:val="00CC6B32"/>
    <w:rsid w:val="00CC763B"/>
    <w:rsid w:val="00CD04DE"/>
    <w:rsid w:val="00CD0D38"/>
    <w:rsid w:val="00CD4065"/>
    <w:rsid w:val="00CD4A0D"/>
    <w:rsid w:val="00CD4D39"/>
    <w:rsid w:val="00CD55E1"/>
    <w:rsid w:val="00CE2C18"/>
    <w:rsid w:val="00CE5B08"/>
    <w:rsid w:val="00CE79F4"/>
    <w:rsid w:val="00CF0408"/>
    <w:rsid w:val="00CF249E"/>
    <w:rsid w:val="00CF2576"/>
    <w:rsid w:val="00CF25B4"/>
    <w:rsid w:val="00CF2A6C"/>
    <w:rsid w:val="00CF3961"/>
    <w:rsid w:val="00CF527C"/>
    <w:rsid w:val="00D006F3"/>
    <w:rsid w:val="00D00860"/>
    <w:rsid w:val="00D01109"/>
    <w:rsid w:val="00D0112F"/>
    <w:rsid w:val="00D01B08"/>
    <w:rsid w:val="00D0231E"/>
    <w:rsid w:val="00D02CBA"/>
    <w:rsid w:val="00D02CE4"/>
    <w:rsid w:val="00D04592"/>
    <w:rsid w:val="00D05FB5"/>
    <w:rsid w:val="00D07D00"/>
    <w:rsid w:val="00D07E00"/>
    <w:rsid w:val="00D13BFF"/>
    <w:rsid w:val="00D15841"/>
    <w:rsid w:val="00D162BD"/>
    <w:rsid w:val="00D165A5"/>
    <w:rsid w:val="00D1661D"/>
    <w:rsid w:val="00D175A9"/>
    <w:rsid w:val="00D178DF"/>
    <w:rsid w:val="00D17AC3"/>
    <w:rsid w:val="00D20A9D"/>
    <w:rsid w:val="00D21853"/>
    <w:rsid w:val="00D221C0"/>
    <w:rsid w:val="00D238C0"/>
    <w:rsid w:val="00D262A7"/>
    <w:rsid w:val="00D26A0A"/>
    <w:rsid w:val="00D309AE"/>
    <w:rsid w:val="00D30BFC"/>
    <w:rsid w:val="00D323F7"/>
    <w:rsid w:val="00D325DC"/>
    <w:rsid w:val="00D33325"/>
    <w:rsid w:val="00D36035"/>
    <w:rsid w:val="00D37BF4"/>
    <w:rsid w:val="00D40009"/>
    <w:rsid w:val="00D400D2"/>
    <w:rsid w:val="00D4141C"/>
    <w:rsid w:val="00D41781"/>
    <w:rsid w:val="00D43624"/>
    <w:rsid w:val="00D43B16"/>
    <w:rsid w:val="00D4686D"/>
    <w:rsid w:val="00D46BE9"/>
    <w:rsid w:val="00D52580"/>
    <w:rsid w:val="00D52A5C"/>
    <w:rsid w:val="00D560B6"/>
    <w:rsid w:val="00D56662"/>
    <w:rsid w:val="00D6071D"/>
    <w:rsid w:val="00D60A71"/>
    <w:rsid w:val="00D63AC8"/>
    <w:rsid w:val="00D649C0"/>
    <w:rsid w:val="00D65B30"/>
    <w:rsid w:val="00D66259"/>
    <w:rsid w:val="00D6700E"/>
    <w:rsid w:val="00D70EC2"/>
    <w:rsid w:val="00D71A70"/>
    <w:rsid w:val="00D71AFE"/>
    <w:rsid w:val="00D726D7"/>
    <w:rsid w:val="00D72AB7"/>
    <w:rsid w:val="00D7403D"/>
    <w:rsid w:val="00D75794"/>
    <w:rsid w:val="00D7797D"/>
    <w:rsid w:val="00D81AA7"/>
    <w:rsid w:val="00D829B3"/>
    <w:rsid w:val="00D83B29"/>
    <w:rsid w:val="00D865CE"/>
    <w:rsid w:val="00D87C46"/>
    <w:rsid w:val="00D91AF2"/>
    <w:rsid w:val="00D923C1"/>
    <w:rsid w:val="00D92899"/>
    <w:rsid w:val="00D96549"/>
    <w:rsid w:val="00D97E2E"/>
    <w:rsid w:val="00DA18F4"/>
    <w:rsid w:val="00DA2EA8"/>
    <w:rsid w:val="00DA4BCA"/>
    <w:rsid w:val="00DA5C2B"/>
    <w:rsid w:val="00DA6A76"/>
    <w:rsid w:val="00DA717A"/>
    <w:rsid w:val="00DB614A"/>
    <w:rsid w:val="00DB6F56"/>
    <w:rsid w:val="00DB7249"/>
    <w:rsid w:val="00DB7763"/>
    <w:rsid w:val="00DC29B4"/>
    <w:rsid w:val="00DC37B4"/>
    <w:rsid w:val="00DC488E"/>
    <w:rsid w:val="00DC64AB"/>
    <w:rsid w:val="00DD0FD5"/>
    <w:rsid w:val="00DD18E8"/>
    <w:rsid w:val="00DD2CD8"/>
    <w:rsid w:val="00DD3039"/>
    <w:rsid w:val="00DD46C7"/>
    <w:rsid w:val="00DD5878"/>
    <w:rsid w:val="00DD5B2F"/>
    <w:rsid w:val="00DD7133"/>
    <w:rsid w:val="00DE209D"/>
    <w:rsid w:val="00DE3843"/>
    <w:rsid w:val="00DE45D9"/>
    <w:rsid w:val="00DF1153"/>
    <w:rsid w:val="00DF165C"/>
    <w:rsid w:val="00DF173F"/>
    <w:rsid w:val="00DF2D20"/>
    <w:rsid w:val="00DF36CC"/>
    <w:rsid w:val="00DF464C"/>
    <w:rsid w:val="00E031F8"/>
    <w:rsid w:val="00E05920"/>
    <w:rsid w:val="00E10655"/>
    <w:rsid w:val="00E1066D"/>
    <w:rsid w:val="00E11E9F"/>
    <w:rsid w:val="00E1361B"/>
    <w:rsid w:val="00E15218"/>
    <w:rsid w:val="00E201EB"/>
    <w:rsid w:val="00E241CB"/>
    <w:rsid w:val="00E248C8"/>
    <w:rsid w:val="00E252CC"/>
    <w:rsid w:val="00E27351"/>
    <w:rsid w:val="00E30FA5"/>
    <w:rsid w:val="00E3119B"/>
    <w:rsid w:val="00E326F2"/>
    <w:rsid w:val="00E327E8"/>
    <w:rsid w:val="00E32B9B"/>
    <w:rsid w:val="00E331C4"/>
    <w:rsid w:val="00E33F35"/>
    <w:rsid w:val="00E355C8"/>
    <w:rsid w:val="00E36F8B"/>
    <w:rsid w:val="00E3763C"/>
    <w:rsid w:val="00E4269B"/>
    <w:rsid w:val="00E4367E"/>
    <w:rsid w:val="00E43C49"/>
    <w:rsid w:val="00E43CCB"/>
    <w:rsid w:val="00E44544"/>
    <w:rsid w:val="00E4462D"/>
    <w:rsid w:val="00E5189B"/>
    <w:rsid w:val="00E543E3"/>
    <w:rsid w:val="00E5614E"/>
    <w:rsid w:val="00E57655"/>
    <w:rsid w:val="00E613C2"/>
    <w:rsid w:val="00E62A2F"/>
    <w:rsid w:val="00E62DB8"/>
    <w:rsid w:val="00E64B12"/>
    <w:rsid w:val="00E65AFC"/>
    <w:rsid w:val="00E65F6A"/>
    <w:rsid w:val="00E667D7"/>
    <w:rsid w:val="00E66A31"/>
    <w:rsid w:val="00E67448"/>
    <w:rsid w:val="00E719A0"/>
    <w:rsid w:val="00E7681C"/>
    <w:rsid w:val="00E800F0"/>
    <w:rsid w:val="00E90048"/>
    <w:rsid w:val="00E9362F"/>
    <w:rsid w:val="00E94489"/>
    <w:rsid w:val="00E94BFB"/>
    <w:rsid w:val="00E96BA4"/>
    <w:rsid w:val="00EA177F"/>
    <w:rsid w:val="00EA1D57"/>
    <w:rsid w:val="00EB0390"/>
    <w:rsid w:val="00EB4997"/>
    <w:rsid w:val="00EB5ECF"/>
    <w:rsid w:val="00EC0691"/>
    <w:rsid w:val="00EC093A"/>
    <w:rsid w:val="00EC1098"/>
    <w:rsid w:val="00EC16F5"/>
    <w:rsid w:val="00EC3940"/>
    <w:rsid w:val="00ED31DA"/>
    <w:rsid w:val="00EE2FA0"/>
    <w:rsid w:val="00EE4921"/>
    <w:rsid w:val="00EE659C"/>
    <w:rsid w:val="00EE6A97"/>
    <w:rsid w:val="00EF27A7"/>
    <w:rsid w:val="00F00B71"/>
    <w:rsid w:val="00F017C5"/>
    <w:rsid w:val="00F0194E"/>
    <w:rsid w:val="00F02073"/>
    <w:rsid w:val="00F03817"/>
    <w:rsid w:val="00F046DA"/>
    <w:rsid w:val="00F04897"/>
    <w:rsid w:val="00F064F2"/>
    <w:rsid w:val="00F066C4"/>
    <w:rsid w:val="00F100E5"/>
    <w:rsid w:val="00F10EF9"/>
    <w:rsid w:val="00F1284B"/>
    <w:rsid w:val="00F134BC"/>
    <w:rsid w:val="00F14444"/>
    <w:rsid w:val="00F150C4"/>
    <w:rsid w:val="00F2345D"/>
    <w:rsid w:val="00F239E1"/>
    <w:rsid w:val="00F2470A"/>
    <w:rsid w:val="00F272D5"/>
    <w:rsid w:val="00F313AD"/>
    <w:rsid w:val="00F323F0"/>
    <w:rsid w:val="00F33A78"/>
    <w:rsid w:val="00F34E0F"/>
    <w:rsid w:val="00F35F53"/>
    <w:rsid w:val="00F400A6"/>
    <w:rsid w:val="00F40828"/>
    <w:rsid w:val="00F40908"/>
    <w:rsid w:val="00F43DC7"/>
    <w:rsid w:val="00F44B82"/>
    <w:rsid w:val="00F47699"/>
    <w:rsid w:val="00F47830"/>
    <w:rsid w:val="00F5023E"/>
    <w:rsid w:val="00F51A22"/>
    <w:rsid w:val="00F51E17"/>
    <w:rsid w:val="00F5273C"/>
    <w:rsid w:val="00F528BD"/>
    <w:rsid w:val="00F5367C"/>
    <w:rsid w:val="00F5403C"/>
    <w:rsid w:val="00F540FC"/>
    <w:rsid w:val="00F55727"/>
    <w:rsid w:val="00F567E4"/>
    <w:rsid w:val="00F573F3"/>
    <w:rsid w:val="00F62A02"/>
    <w:rsid w:val="00F649B9"/>
    <w:rsid w:val="00F712EF"/>
    <w:rsid w:val="00F87B10"/>
    <w:rsid w:val="00F90E1B"/>
    <w:rsid w:val="00F94D0D"/>
    <w:rsid w:val="00F95728"/>
    <w:rsid w:val="00F967FD"/>
    <w:rsid w:val="00F97D6B"/>
    <w:rsid w:val="00F97F6A"/>
    <w:rsid w:val="00FA16F7"/>
    <w:rsid w:val="00FA3030"/>
    <w:rsid w:val="00FA4995"/>
    <w:rsid w:val="00FA5026"/>
    <w:rsid w:val="00FA6091"/>
    <w:rsid w:val="00FA74B8"/>
    <w:rsid w:val="00FA7611"/>
    <w:rsid w:val="00FB1839"/>
    <w:rsid w:val="00FB27E7"/>
    <w:rsid w:val="00FB2B33"/>
    <w:rsid w:val="00FB305F"/>
    <w:rsid w:val="00FB4035"/>
    <w:rsid w:val="00FB4C92"/>
    <w:rsid w:val="00FB4FD4"/>
    <w:rsid w:val="00FC054B"/>
    <w:rsid w:val="00FC30B7"/>
    <w:rsid w:val="00FC439A"/>
    <w:rsid w:val="00FC4861"/>
    <w:rsid w:val="00FC5C02"/>
    <w:rsid w:val="00FC6FC1"/>
    <w:rsid w:val="00FD13AB"/>
    <w:rsid w:val="00FD16DC"/>
    <w:rsid w:val="00FD22B3"/>
    <w:rsid w:val="00FD2445"/>
    <w:rsid w:val="00FD4F84"/>
    <w:rsid w:val="00FD5DDB"/>
    <w:rsid w:val="00FD669D"/>
    <w:rsid w:val="00FD6EE1"/>
    <w:rsid w:val="00FD7B3B"/>
    <w:rsid w:val="00FE054E"/>
    <w:rsid w:val="00FE113A"/>
    <w:rsid w:val="00FE309F"/>
    <w:rsid w:val="00FE33A2"/>
    <w:rsid w:val="00FE3F83"/>
    <w:rsid w:val="00FE4206"/>
    <w:rsid w:val="00FE4FCC"/>
    <w:rsid w:val="00FF0C46"/>
    <w:rsid w:val="00FF20BA"/>
    <w:rsid w:val="047F7D7C"/>
    <w:rsid w:val="087A4761"/>
    <w:rsid w:val="096DEFF3"/>
    <w:rsid w:val="0A502034"/>
    <w:rsid w:val="0A587CB6"/>
    <w:rsid w:val="114926B2"/>
    <w:rsid w:val="182245D9"/>
    <w:rsid w:val="1B21DAB9"/>
    <w:rsid w:val="23FB8DF1"/>
    <w:rsid w:val="2487BA95"/>
    <w:rsid w:val="271076AD"/>
    <w:rsid w:val="2B2ECB01"/>
    <w:rsid w:val="2C45A278"/>
    <w:rsid w:val="31DB47F7"/>
    <w:rsid w:val="340F7E86"/>
    <w:rsid w:val="35AB4EE7"/>
    <w:rsid w:val="35BF724A"/>
    <w:rsid w:val="377DD7E3"/>
    <w:rsid w:val="38FFAE73"/>
    <w:rsid w:val="3DA84D23"/>
    <w:rsid w:val="3FA6D782"/>
    <w:rsid w:val="43290152"/>
    <w:rsid w:val="4497A254"/>
    <w:rsid w:val="4536CEF9"/>
    <w:rsid w:val="490004DA"/>
    <w:rsid w:val="49DEC2BD"/>
    <w:rsid w:val="4EB8282D"/>
    <w:rsid w:val="5095421C"/>
    <w:rsid w:val="58D88EEE"/>
    <w:rsid w:val="5EBFA8FC"/>
    <w:rsid w:val="5FC5294C"/>
    <w:rsid w:val="66391D9E"/>
    <w:rsid w:val="664D49AF"/>
    <w:rsid w:val="716A81F8"/>
    <w:rsid w:val="7500EF28"/>
    <w:rsid w:val="76566D0C"/>
    <w:rsid w:val="788F5C99"/>
    <w:rsid w:val="7B678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C2CA05"/>
  <w14:defaultImageDpi w14:val="32767"/>
  <w15:chartTrackingRefBased/>
  <w15:docId w15:val="{04D3FB43-DB51-4428-BBEC-40B464358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A22"/>
    <w:pPr>
      <w:spacing w:after="240" w:line="264" w:lineRule="auto"/>
    </w:pPr>
    <w:rPr>
      <w:sz w:val="24"/>
      <w:szCs w:val="24"/>
    </w:rPr>
  </w:style>
  <w:style w:type="paragraph" w:styleId="Heading1">
    <w:name w:val="heading 1"/>
    <w:basedOn w:val="Normal"/>
    <w:next w:val="Normal"/>
    <w:link w:val="Heading1Char"/>
    <w:uiPriority w:val="9"/>
    <w:qFormat/>
    <w:rsid w:val="00467B0F"/>
    <w:pPr>
      <w:keepNext/>
      <w:keepLines/>
      <w:pageBreakBefore/>
      <w:spacing w:after="360" w:line="216" w:lineRule="auto"/>
      <w:outlineLvl w:val="0"/>
    </w:pPr>
    <w:rPr>
      <w:rFonts w:asciiTheme="majorHAnsi" w:eastAsiaTheme="majorEastAsia" w:hAnsiTheme="majorHAnsi" w:cstheme="majorBidi"/>
      <w:b/>
      <w:bCs/>
      <w:sz w:val="60"/>
      <w:szCs w:val="60"/>
    </w:rPr>
  </w:style>
  <w:style w:type="paragraph" w:styleId="Heading2">
    <w:name w:val="heading 2"/>
    <w:basedOn w:val="Normal"/>
    <w:next w:val="Normal"/>
    <w:link w:val="Heading2Char"/>
    <w:uiPriority w:val="9"/>
    <w:unhideWhenUsed/>
    <w:qFormat/>
    <w:rsid w:val="000B50E9"/>
    <w:pPr>
      <w:keepNext/>
      <w:keepLines/>
      <w:spacing w:before="480" w:after="360" w:line="440" w:lineRule="exact"/>
      <w:outlineLvl w:val="1"/>
    </w:pPr>
    <w:rPr>
      <w:rFonts w:asciiTheme="majorHAnsi" w:eastAsiaTheme="majorEastAsia" w:hAnsiTheme="majorHAnsi" w:cstheme="majorBidi"/>
      <w:b/>
      <w:sz w:val="40"/>
      <w:szCs w:val="40"/>
    </w:rPr>
  </w:style>
  <w:style w:type="paragraph" w:styleId="Heading3">
    <w:name w:val="heading 3"/>
    <w:basedOn w:val="Normal"/>
    <w:next w:val="BodyText"/>
    <w:link w:val="Heading3Char"/>
    <w:uiPriority w:val="9"/>
    <w:unhideWhenUsed/>
    <w:qFormat/>
    <w:rsid w:val="00E27351"/>
    <w:pPr>
      <w:keepNext/>
      <w:keepLines/>
      <w:spacing w:before="480" w:after="360" w:line="340" w:lineRule="exact"/>
      <w:outlineLvl w:val="2"/>
    </w:pPr>
    <w:rPr>
      <w:rFonts w:asciiTheme="majorHAnsi" w:eastAsiaTheme="majorEastAsia" w:hAnsiTheme="majorHAnsi" w:cstheme="majorBidi"/>
      <w:b/>
      <w:bCs/>
      <w:color w:val="000000" w:themeColor="text1"/>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BB3"/>
    <w:pPr>
      <w:tabs>
        <w:tab w:val="center" w:pos="4513"/>
        <w:tab w:val="right" w:pos="9026"/>
      </w:tabs>
      <w:spacing w:after="0" w:line="240" w:lineRule="auto"/>
    </w:pPr>
    <w:rPr>
      <w:rFonts w:ascii="Calibri" w:hAnsi="Calibri"/>
      <w:b/>
      <w:caps/>
      <w:spacing w:val="12"/>
      <w:sz w:val="16"/>
      <w:szCs w:val="16"/>
    </w:rPr>
  </w:style>
  <w:style w:type="character" w:customStyle="1" w:styleId="HeaderChar">
    <w:name w:val="Header Char"/>
    <w:basedOn w:val="DefaultParagraphFont"/>
    <w:link w:val="Header"/>
    <w:uiPriority w:val="99"/>
    <w:rsid w:val="00BD2BB3"/>
    <w:rPr>
      <w:rFonts w:ascii="Calibri" w:hAnsi="Calibri"/>
      <w:b/>
      <w:caps/>
      <w:spacing w:val="12"/>
      <w:sz w:val="16"/>
      <w:szCs w:val="16"/>
    </w:rPr>
  </w:style>
  <w:style w:type="paragraph" w:styleId="Footer">
    <w:name w:val="footer"/>
    <w:basedOn w:val="Normal"/>
    <w:link w:val="FooterChar"/>
    <w:uiPriority w:val="99"/>
    <w:unhideWhenUsed/>
    <w:rsid w:val="001D1473"/>
    <w:pPr>
      <w:tabs>
        <w:tab w:val="left" w:pos="284"/>
        <w:tab w:val="center" w:pos="4513"/>
        <w:tab w:val="right" w:pos="9026"/>
      </w:tabs>
      <w:spacing w:after="0" w:line="240" w:lineRule="auto"/>
    </w:pPr>
    <w:rPr>
      <w:noProof/>
      <w:color w:val="FFFFFF" w:themeColor="background1"/>
      <w:sz w:val="18"/>
      <w:szCs w:val="18"/>
    </w:rPr>
  </w:style>
  <w:style w:type="character" w:customStyle="1" w:styleId="FooterChar">
    <w:name w:val="Footer Char"/>
    <w:basedOn w:val="DefaultParagraphFont"/>
    <w:link w:val="Footer"/>
    <w:uiPriority w:val="99"/>
    <w:rsid w:val="001D1473"/>
    <w:rPr>
      <w:noProof/>
      <w:color w:val="FFFFFF" w:themeColor="background1"/>
      <w:sz w:val="18"/>
      <w:szCs w:val="18"/>
    </w:rPr>
  </w:style>
  <w:style w:type="paragraph" w:customStyle="1" w:styleId="PageNumberinCircle">
    <w:name w:val="Page Number in Circle"/>
    <w:qFormat/>
    <w:rsid w:val="00BD2BB3"/>
    <w:pPr>
      <w:framePr w:wrap="notBeside" w:vAnchor="page" w:hAnchor="text" w:y="1"/>
    </w:pPr>
    <w:rPr>
      <w:rFonts w:asciiTheme="majorHAnsi" w:hAnsiTheme="majorHAnsi"/>
      <w:caps/>
      <w:spacing w:val="12"/>
      <w:sz w:val="16"/>
      <w:szCs w:val="16"/>
    </w:rPr>
  </w:style>
  <w:style w:type="character" w:customStyle="1" w:styleId="Heading1Char">
    <w:name w:val="Heading 1 Char"/>
    <w:basedOn w:val="DefaultParagraphFont"/>
    <w:link w:val="Heading1"/>
    <w:uiPriority w:val="9"/>
    <w:rsid w:val="00467B0F"/>
    <w:rPr>
      <w:rFonts w:asciiTheme="majorHAnsi" w:eastAsiaTheme="majorEastAsia" w:hAnsiTheme="majorHAnsi" w:cstheme="majorBidi"/>
      <w:b/>
      <w:bCs/>
      <w:sz w:val="60"/>
      <w:szCs w:val="60"/>
    </w:rPr>
  </w:style>
  <w:style w:type="paragraph" w:styleId="BodyText">
    <w:name w:val="Body Text"/>
    <w:basedOn w:val="Normal"/>
    <w:link w:val="BodyTextChar"/>
    <w:uiPriority w:val="99"/>
    <w:unhideWhenUsed/>
    <w:rsid w:val="008573EC"/>
    <w:pPr>
      <w:spacing w:line="320" w:lineRule="exact"/>
    </w:pPr>
  </w:style>
  <w:style w:type="character" w:customStyle="1" w:styleId="BodyTextChar">
    <w:name w:val="Body Text Char"/>
    <w:basedOn w:val="DefaultParagraphFont"/>
    <w:link w:val="BodyText"/>
    <w:uiPriority w:val="99"/>
    <w:rsid w:val="008573EC"/>
    <w:rPr>
      <w:sz w:val="24"/>
      <w:szCs w:val="24"/>
    </w:rPr>
  </w:style>
  <w:style w:type="paragraph" w:customStyle="1" w:styleId="FigureText">
    <w:name w:val="Figure Text"/>
    <w:next w:val="BodyText"/>
    <w:qFormat/>
    <w:rsid w:val="00F33A78"/>
    <w:pPr>
      <w:spacing w:before="360" w:after="360" w:line="252" w:lineRule="auto"/>
    </w:pPr>
    <w:rPr>
      <w:caps/>
      <w:spacing w:val="12"/>
      <w:sz w:val="24"/>
      <w:szCs w:val="24"/>
    </w:rPr>
  </w:style>
  <w:style w:type="paragraph" w:customStyle="1" w:styleId="Picture">
    <w:name w:val="Picture"/>
    <w:basedOn w:val="NoSpacing"/>
    <w:qFormat/>
    <w:rsid w:val="00D33325"/>
    <w:pPr>
      <w:spacing w:before="480" w:after="180"/>
    </w:pPr>
    <w:rPr>
      <w:noProof/>
    </w:rPr>
  </w:style>
  <w:style w:type="paragraph" w:customStyle="1" w:styleId="CoverDate">
    <w:name w:val="Cover Date"/>
    <w:next w:val="Header"/>
    <w:qFormat/>
    <w:rsid w:val="001642A3"/>
    <w:pPr>
      <w:jc w:val="right"/>
    </w:pPr>
    <w:rPr>
      <w:rFonts w:ascii="Calibri" w:hAnsi="Calibri"/>
      <w:b/>
      <w:caps/>
      <w:noProof/>
      <w:color w:val="FFFFFF" w:themeColor="background1"/>
      <w:spacing w:val="12"/>
      <w:sz w:val="24"/>
      <w:szCs w:val="20"/>
    </w:rPr>
  </w:style>
  <w:style w:type="paragraph" w:customStyle="1" w:styleId="CoverTitle">
    <w:name w:val="Cover Title"/>
    <w:next w:val="BodyText"/>
    <w:qFormat/>
    <w:rsid w:val="00D33325"/>
    <w:pPr>
      <w:spacing w:after="360" w:line="240" w:lineRule="auto"/>
    </w:pPr>
    <w:rPr>
      <w:rFonts w:asciiTheme="majorHAnsi" w:hAnsiTheme="majorHAnsi" w:cstheme="majorHAnsi"/>
      <w:b/>
      <w:bCs/>
      <w:color w:val="FFFFFF" w:themeColor="background1"/>
      <w:sz w:val="136"/>
      <w:szCs w:val="136"/>
    </w:rPr>
  </w:style>
  <w:style w:type="paragraph" w:customStyle="1" w:styleId="CoverSubtitle">
    <w:name w:val="Cover Subtitle"/>
    <w:qFormat/>
    <w:rsid w:val="001642A3"/>
    <w:rPr>
      <w:color w:val="FFFFFF" w:themeColor="background1"/>
      <w:sz w:val="48"/>
      <w:szCs w:val="48"/>
    </w:rPr>
  </w:style>
  <w:style w:type="paragraph" w:customStyle="1" w:styleId="CoverBodyText">
    <w:name w:val="Cover Body Text"/>
    <w:basedOn w:val="BodyText"/>
    <w:qFormat/>
    <w:rsid w:val="003E16BC"/>
    <w:rPr>
      <w:color w:val="FFFFFF" w:themeColor="background1"/>
    </w:rPr>
  </w:style>
  <w:style w:type="paragraph" w:styleId="NoSpacing">
    <w:name w:val="No Spacing"/>
    <w:uiPriority w:val="1"/>
    <w:qFormat/>
    <w:rsid w:val="00FD2445"/>
    <w:pPr>
      <w:spacing w:after="0" w:line="240" w:lineRule="auto"/>
    </w:pPr>
    <w:rPr>
      <w:sz w:val="24"/>
      <w:szCs w:val="24"/>
    </w:rPr>
  </w:style>
  <w:style w:type="table" w:styleId="TableGrid">
    <w:name w:val="Table Grid"/>
    <w:basedOn w:val="TableNormal"/>
    <w:uiPriority w:val="39"/>
    <w:rsid w:val="006F6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FD2445"/>
    <w:pPr>
      <w:numPr>
        <w:numId w:val="1"/>
      </w:numPr>
      <w:spacing w:line="320" w:lineRule="exact"/>
      <w:ind w:left="284" w:hanging="284"/>
    </w:pPr>
  </w:style>
  <w:style w:type="character" w:customStyle="1" w:styleId="HighlightBold">
    <w:name w:val="Highlight Bold"/>
    <w:basedOn w:val="DefaultParagraphFont"/>
    <w:uiPriority w:val="1"/>
    <w:qFormat/>
    <w:rsid w:val="00653892"/>
    <w:rPr>
      <w:rFonts w:ascii="Calibri" w:hAnsi="Calibri"/>
      <w:b/>
    </w:rPr>
  </w:style>
  <w:style w:type="paragraph" w:customStyle="1" w:styleId="Introduction">
    <w:name w:val="Introduction"/>
    <w:basedOn w:val="BodyText"/>
    <w:qFormat/>
    <w:rsid w:val="00513969"/>
    <w:pPr>
      <w:keepNext/>
      <w:keepLines/>
      <w:spacing w:after="360" w:line="264" w:lineRule="auto"/>
    </w:pPr>
    <w:rPr>
      <w:sz w:val="32"/>
      <w:szCs w:val="32"/>
    </w:rPr>
  </w:style>
  <w:style w:type="paragraph" w:styleId="FootnoteText">
    <w:name w:val="footnote text"/>
    <w:basedOn w:val="Normal"/>
    <w:link w:val="FootnoteTextChar"/>
    <w:uiPriority w:val="99"/>
    <w:unhideWhenUsed/>
    <w:rsid w:val="00C12916"/>
    <w:pPr>
      <w:spacing w:after="0" w:line="240" w:lineRule="auto"/>
    </w:pPr>
    <w:rPr>
      <w:sz w:val="18"/>
      <w:szCs w:val="18"/>
    </w:rPr>
  </w:style>
  <w:style w:type="character" w:customStyle="1" w:styleId="FootnoteTextChar">
    <w:name w:val="Footnote Text Char"/>
    <w:basedOn w:val="DefaultParagraphFont"/>
    <w:link w:val="FootnoteText"/>
    <w:uiPriority w:val="99"/>
    <w:rsid w:val="00C12916"/>
    <w:rPr>
      <w:sz w:val="18"/>
      <w:szCs w:val="18"/>
    </w:rPr>
  </w:style>
  <w:style w:type="character" w:styleId="FootnoteReference">
    <w:name w:val="footnote reference"/>
    <w:uiPriority w:val="99"/>
    <w:unhideWhenUsed/>
    <w:rsid w:val="00521A22"/>
    <w:rPr>
      <w:vertAlign w:val="superscript"/>
    </w:rPr>
  </w:style>
  <w:style w:type="paragraph" w:customStyle="1" w:styleId="PullOutBoxHeading">
    <w:name w:val="Pull Out Box Heading"/>
    <w:qFormat/>
    <w:rsid w:val="00E27351"/>
    <w:pPr>
      <w:tabs>
        <w:tab w:val="left" w:pos="6521"/>
      </w:tabs>
      <w:spacing w:after="240" w:line="252" w:lineRule="auto"/>
    </w:pPr>
    <w:rPr>
      <w:rFonts w:asciiTheme="majorHAnsi" w:hAnsiTheme="majorHAnsi" w:cstheme="majorHAnsi"/>
      <w:b/>
      <w:bCs/>
      <w:color w:val="000000" w:themeColor="text1"/>
      <w:sz w:val="30"/>
      <w:szCs w:val="30"/>
    </w:rPr>
  </w:style>
  <w:style w:type="paragraph" w:customStyle="1" w:styleId="Default">
    <w:name w:val="Default"/>
    <w:rsid w:val="00C12916"/>
    <w:pPr>
      <w:autoSpaceDE w:val="0"/>
      <w:autoSpaceDN w:val="0"/>
      <w:adjustRightInd w:val="0"/>
      <w:spacing w:after="0" w:line="240" w:lineRule="auto"/>
    </w:pPr>
    <w:rPr>
      <w:rFonts w:ascii="Times" w:hAnsi="Times" w:cs="Times"/>
      <w:color w:val="000000"/>
      <w:sz w:val="24"/>
      <w:szCs w:val="24"/>
    </w:rPr>
  </w:style>
  <w:style w:type="paragraph" w:customStyle="1" w:styleId="BackCoverText">
    <w:name w:val="Back Cover Text"/>
    <w:basedOn w:val="Normal"/>
    <w:qFormat/>
    <w:rsid w:val="00E327E8"/>
    <w:pPr>
      <w:spacing w:line="320" w:lineRule="exact"/>
      <w:ind w:right="5273"/>
    </w:pPr>
    <w:rPr>
      <w:color w:val="FFFFFF" w:themeColor="background1"/>
    </w:rPr>
  </w:style>
  <w:style w:type="character" w:styleId="UnresolvedMention">
    <w:name w:val="Unresolved Mention"/>
    <w:basedOn w:val="DefaultParagraphFont"/>
    <w:uiPriority w:val="99"/>
    <w:semiHidden/>
    <w:unhideWhenUsed/>
    <w:rsid w:val="001D1473"/>
    <w:rPr>
      <w:color w:val="605E5C"/>
      <w:shd w:val="clear" w:color="auto" w:fill="E1DFDD"/>
    </w:rPr>
  </w:style>
  <w:style w:type="character" w:customStyle="1" w:styleId="BackCoverHyperlink">
    <w:name w:val="Back Cover Hyperlink"/>
    <w:basedOn w:val="Hyperlink"/>
    <w:uiPriority w:val="1"/>
    <w:qFormat/>
    <w:rsid w:val="00934FB5"/>
    <w:rPr>
      <w:color w:val="FFFFFF" w:themeColor="background1"/>
      <w:u w:val="none"/>
    </w:rPr>
  </w:style>
  <w:style w:type="paragraph" w:styleId="Bibliography">
    <w:name w:val="Bibliography"/>
    <w:basedOn w:val="Normal"/>
    <w:next w:val="Normal"/>
    <w:uiPriority w:val="37"/>
    <w:unhideWhenUsed/>
    <w:rsid w:val="00C12916"/>
    <w:pPr>
      <w:spacing w:after="180" w:line="252" w:lineRule="auto"/>
    </w:pPr>
    <w:rPr>
      <w:sz w:val="18"/>
    </w:rPr>
  </w:style>
  <w:style w:type="character" w:styleId="Hyperlink">
    <w:name w:val="Hyperlink"/>
    <w:basedOn w:val="DefaultParagraphFont"/>
    <w:uiPriority w:val="99"/>
    <w:unhideWhenUsed/>
    <w:rsid w:val="00C12916"/>
    <w:rPr>
      <w:color w:val="000000" w:themeColor="hyperlink"/>
      <w:u w:val="single"/>
    </w:rPr>
  </w:style>
  <w:style w:type="paragraph" w:customStyle="1" w:styleId="BibliographyHeading">
    <w:name w:val="Bibliography Heading"/>
    <w:basedOn w:val="Heading1"/>
    <w:qFormat/>
    <w:rsid w:val="00F43DC7"/>
  </w:style>
  <w:style w:type="character" w:customStyle="1" w:styleId="Heading3Char">
    <w:name w:val="Heading 3 Char"/>
    <w:basedOn w:val="DefaultParagraphFont"/>
    <w:link w:val="Heading3"/>
    <w:uiPriority w:val="9"/>
    <w:rsid w:val="00E27351"/>
    <w:rPr>
      <w:rFonts w:asciiTheme="majorHAnsi" w:eastAsiaTheme="majorEastAsia" w:hAnsiTheme="majorHAnsi" w:cstheme="majorBidi"/>
      <w:b/>
      <w:bCs/>
      <w:color w:val="000000" w:themeColor="text1"/>
      <w:sz w:val="30"/>
      <w:szCs w:val="30"/>
    </w:rPr>
  </w:style>
  <w:style w:type="paragraph" w:styleId="TOC1">
    <w:name w:val="toc 1"/>
    <w:basedOn w:val="Normal"/>
    <w:next w:val="Normal"/>
    <w:autoRedefine/>
    <w:uiPriority w:val="39"/>
    <w:unhideWhenUsed/>
    <w:rsid w:val="004229CB"/>
    <w:pPr>
      <w:pBdr>
        <w:top w:val="single" w:sz="4" w:space="6" w:color="CCE1FF" w:themeColor="accent1"/>
        <w:bottom w:val="single" w:sz="4" w:space="8" w:color="CCE1FF" w:themeColor="accent1"/>
        <w:between w:val="single" w:sz="4" w:space="6" w:color="CCE1FF" w:themeColor="accent1"/>
      </w:pBdr>
      <w:tabs>
        <w:tab w:val="right" w:pos="8268"/>
      </w:tabs>
      <w:spacing w:after="0" w:line="320" w:lineRule="exact"/>
    </w:pPr>
    <w:rPr>
      <w:noProof/>
    </w:rPr>
  </w:style>
  <w:style w:type="character" w:customStyle="1" w:styleId="Heading2Char">
    <w:name w:val="Heading 2 Char"/>
    <w:basedOn w:val="DefaultParagraphFont"/>
    <w:link w:val="Heading2"/>
    <w:uiPriority w:val="9"/>
    <w:rsid w:val="000B50E9"/>
    <w:rPr>
      <w:rFonts w:asciiTheme="majorHAnsi" w:eastAsiaTheme="majorEastAsia" w:hAnsiTheme="majorHAnsi" w:cstheme="majorBidi"/>
      <w:b/>
      <w:sz w:val="40"/>
      <w:szCs w:val="40"/>
    </w:rPr>
  </w:style>
  <w:style w:type="paragraph" w:customStyle="1" w:styleId="ContentsHeading">
    <w:name w:val="Contents Heading"/>
    <w:basedOn w:val="Normal"/>
    <w:qFormat/>
    <w:rsid w:val="008573EC"/>
    <w:pPr>
      <w:keepNext/>
      <w:keepLines/>
      <w:pageBreakBefore/>
      <w:spacing w:after="360" w:line="216" w:lineRule="auto"/>
    </w:pPr>
    <w:rPr>
      <w:rFonts w:asciiTheme="majorHAnsi" w:hAnsiTheme="majorHAnsi" w:cstheme="majorHAnsi"/>
      <w:b/>
      <w:bCs/>
      <w:sz w:val="60"/>
      <w:szCs w:val="60"/>
    </w:rPr>
  </w:style>
  <w:style w:type="paragraph" w:customStyle="1" w:styleId="PullOutBoxText">
    <w:name w:val="Pull Out Box Text"/>
    <w:basedOn w:val="BodyText"/>
    <w:qFormat/>
    <w:rsid w:val="00E27351"/>
    <w:rPr>
      <w:color w:val="000000" w:themeColor="text1"/>
    </w:rPr>
  </w:style>
  <w:style w:type="paragraph" w:styleId="Caption">
    <w:name w:val="caption"/>
    <w:basedOn w:val="Normal"/>
    <w:next w:val="Normal"/>
    <w:uiPriority w:val="35"/>
    <w:unhideWhenUsed/>
    <w:qFormat/>
    <w:rsid w:val="00F33A78"/>
    <w:pPr>
      <w:spacing w:after="120"/>
    </w:pPr>
    <w:rPr>
      <w:color w:val="878787"/>
      <w:sz w:val="20"/>
      <w:szCs w:val="18"/>
    </w:rPr>
  </w:style>
  <w:style w:type="paragraph" w:customStyle="1" w:styleId="BlueLinkBoxText">
    <w:name w:val="Blue Link Box Text"/>
    <w:basedOn w:val="Normal"/>
    <w:qFormat/>
    <w:rsid w:val="008C673F"/>
    <w:pPr>
      <w:spacing w:after="0" w:line="240" w:lineRule="auto"/>
      <w:jc w:val="center"/>
    </w:pPr>
    <w:rPr>
      <w:rFonts w:ascii="Calibri" w:hAnsi="Calibri" w:cs="Calibri"/>
      <w:b/>
      <w:bCs/>
      <w:caps/>
      <w:color w:val="000000" w:themeColor="text1"/>
      <w:sz w:val="20"/>
      <w:szCs w:val="20"/>
    </w:rPr>
  </w:style>
  <w:style w:type="paragraph" w:styleId="ListBullet2">
    <w:name w:val="List Bullet 2"/>
    <w:basedOn w:val="Normal"/>
    <w:uiPriority w:val="99"/>
    <w:unhideWhenUsed/>
    <w:rsid w:val="008573EC"/>
    <w:pPr>
      <w:numPr>
        <w:numId w:val="2"/>
      </w:numPr>
      <w:spacing w:line="320" w:lineRule="exact"/>
      <w:ind w:left="641" w:hanging="357"/>
    </w:pPr>
  </w:style>
  <w:style w:type="paragraph" w:styleId="EndnoteText">
    <w:name w:val="endnote text"/>
    <w:basedOn w:val="Normal"/>
    <w:link w:val="EndnoteTextChar"/>
    <w:uiPriority w:val="99"/>
    <w:semiHidden/>
    <w:unhideWhenUsed/>
    <w:rsid w:val="009C15C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C15C5"/>
    <w:rPr>
      <w:sz w:val="20"/>
      <w:szCs w:val="20"/>
    </w:rPr>
  </w:style>
  <w:style w:type="character" w:styleId="EndnoteReference">
    <w:name w:val="endnote reference"/>
    <w:basedOn w:val="DefaultParagraphFont"/>
    <w:uiPriority w:val="99"/>
    <w:semiHidden/>
    <w:unhideWhenUsed/>
    <w:rsid w:val="009C15C5"/>
    <w:rPr>
      <w:vertAlign w:val="superscript"/>
    </w:rPr>
  </w:style>
  <w:style w:type="paragraph" w:styleId="ListNumber">
    <w:name w:val="List Number"/>
    <w:basedOn w:val="Normal"/>
    <w:uiPriority w:val="99"/>
    <w:unhideWhenUsed/>
    <w:rsid w:val="00187914"/>
    <w:pPr>
      <w:numPr>
        <w:numId w:val="3"/>
      </w:numPr>
      <w:spacing w:line="320" w:lineRule="exact"/>
      <w:ind w:left="284" w:hanging="284"/>
    </w:pPr>
  </w:style>
  <w:style w:type="paragraph" w:styleId="ListNumber2">
    <w:name w:val="List Number 2"/>
    <w:basedOn w:val="Normal"/>
    <w:uiPriority w:val="99"/>
    <w:unhideWhenUsed/>
    <w:rsid w:val="00187914"/>
    <w:pPr>
      <w:numPr>
        <w:numId w:val="4"/>
      </w:numPr>
      <w:spacing w:line="320" w:lineRule="exact"/>
      <w:ind w:left="568" w:hanging="284"/>
    </w:pPr>
  </w:style>
  <w:style w:type="character" w:customStyle="1" w:styleId="BackCoverDate">
    <w:name w:val="Back Cover Date"/>
    <w:basedOn w:val="BackCoverHyperlink"/>
    <w:uiPriority w:val="1"/>
    <w:qFormat/>
    <w:rsid w:val="008E6320"/>
    <w:rPr>
      <w:color w:val="FFFFFF" w:themeColor="background1"/>
      <w:sz w:val="18"/>
      <w:szCs w:val="20"/>
      <w:u w:val="none"/>
    </w:rPr>
  </w:style>
  <w:style w:type="character" w:customStyle="1" w:styleId="BackCoverISBN">
    <w:name w:val="Back Cover ISBN"/>
    <w:basedOn w:val="BackCoverDate"/>
    <w:uiPriority w:val="1"/>
    <w:qFormat/>
    <w:rsid w:val="008E6320"/>
    <w:rPr>
      <w:color w:val="FFFFFF" w:themeColor="background1"/>
      <w:sz w:val="18"/>
      <w:szCs w:val="20"/>
      <w:u w:val="none"/>
    </w:rPr>
  </w:style>
  <w:style w:type="paragraph" w:customStyle="1" w:styleId="BackCoverAddress">
    <w:name w:val="Back Cover Address"/>
    <w:basedOn w:val="Footer"/>
    <w:qFormat/>
    <w:rsid w:val="008E6320"/>
    <w:pPr>
      <w:framePr w:hSpace="181" w:wrap="around" w:vAnchor="page" w:hAnchor="margin" w:y="7975"/>
      <w:tabs>
        <w:tab w:val="clear" w:pos="4513"/>
        <w:tab w:val="clear" w:pos="9026"/>
        <w:tab w:val="left" w:pos="567"/>
        <w:tab w:val="left" w:pos="8222"/>
      </w:tabs>
      <w:spacing w:line="320" w:lineRule="exact"/>
    </w:pPr>
    <w:rPr>
      <w:sz w:val="24"/>
      <w:szCs w:val="24"/>
    </w:rPr>
  </w:style>
  <w:style w:type="character" w:customStyle="1" w:styleId="HighlightBlue">
    <w:name w:val="Highlight Blue"/>
    <w:basedOn w:val="DefaultParagraphFont"/>
    <w:uiPriority w:val="1"/>
    <w:qFormat/>
    <w:rsid w:val="007B6794"/>
    <w:rPr>
      <w:color w:val="1D70EB" w:themeColor="text2"/>
    </w:rPr>
  </w:style>
  <w:style w:type="paragraph" w:customStyle="1" w:styleId="BackCoverTextNoSpacing">
    <w:name w:val="Back Cover Text No Spacing"/>
    <w:basedOn w:val="BackCoverText"/>
    <w:qFormat/>
    <w:rsid w:val="00C64EE1"/>
    <w:pPr>
      <w:spacing w:after="0"/>
    </w:pPr>
  </w:style>
  <w:style w:type="paragraph" w:customStyle="1" w:styleId="PartnerLogo">
    <w:name w:val="Partner Logo"/>
    <w:basedOn w:val="NoSpacing"/>
    <w:qFormat/>
    <w:rsid w:val="00C779D9"/>
    <w:pPr>
      <w:framePr w:wrap="around" w:vAnchor="page" w:hAnchor="page" w:xAlign="center" w:y="14289"/>
      <w:jc w:val="right"/>
    </w:pPr>
  </w:style>
  <w:style w:type="paragraph" w:styleId="ListParagraph">
    <w:name w:val="List Paragraph"/>
    <w:basedOn w:val="Normal"/>
    <w:uiPriority w:val="34"/>
    <w:qFormat/>
    <w:rsid w:val="00E1066D"/>
    <w:pPr>
      <w:ind w:left="720"/>
      <w:contextualSpacing/>
    </w:pPr>
  </w:style>
  <w:style w:type="character" w:styleId="CommentReference">
    <w:name w:val="annotation reference"/>
    <w:basedOn w:val="DefaultParagraphFont"/>
    <w:uiPriority w:val="99"/>
    <w:semiHidden/>
    <w:unhideWhenUsed/>
    <w:rsid w:val="00116A4D"/>
    <w:rPr>
      <w:sz w:val="16"/>
      <w:szCs w:val="16"/>
    </w:rPr>
  </w:style>
  <w:style w:type="paragraph" w:styleId="CommentText">
    <w:name w:val="annotation text"/>
    <w:basedOn w:val="Normal"/>
    <w:link w:val="CommentTextChar"/>
    <w:uiPriority w:val="99"/>
    <w:unhideWhenUsed/>
    <w:rsid w:val="00116A4D"/>
    <w:pPr>
      <w:spacing w:line="240" w:lineRule="auto"/>
    </w:pPr>
    <w:rPr>
      <w:sz w:val="20"/>
      <w:szCs w:val="20"/>
    </w:rPr>
  </w:style>
  <w:style w:type="character" w:customStyle="1" w:styleId="CommentTextChar">
    <w:name w:val="Comment Text Char"/>
    <w:basedOn w:val="DefaultParagraphFont"/>
    <w:link w:val="CommentText"/>
    <w:uiPriority w:val="99"/>
    <w:rsid w:val="00116A4D"/>
    <w:rPr>
      <w:sz w:val="20"/>
      <w:szCs w:val="20"/>
    </w:rPr>
  </w:style>
  <w:style w:type="paragraph" w:styleId="CommentSubject">
    <w:name w:val="annotation subject"/>
    <w:basedOn w:val="CommentText"/>
    <w:next w:val="CommentText"/>
    <w:link w:val="CommentSubjectChar"/>
    <w:uiPriority w:val="99"/>
    <w:semiHidden/>
    <w:unhideWhenUsed/>
    <w:rsid w:val="00116A4D"/>
    <w:rPr>
      <w:b/>
      <w:bCs/>
    </w:rPr>
  </w:style>
  <w:style w:type="character" w:customStyle="1" w:styleId="CommentSubjectChar">
    <w:name w:val="Comment Subject Char"/>
    <w:basedOn w:val="CommentTextChar"/>
    <w:link w:val="CommentSubject"/>
    <w:uiPriority w:val="99"/>
    <w:semiHidden/>
    <w:rsid w:val="00116A4D"/>
    <w:rPr>
      <w:b/>
      <w:bCs/>
      <w:sz w:val="20"/>
      <w:szCs w:val="20"/>
    </w:rPr>
  </w:style>
  <w:style w:type="paragraph" w:styleId="Revision">
    <w:name w:val="Revision"/>
    <w:hidden/>
    <w:uiPriority w:val="99"/>
    <w:semiHidden/>
    <w:rsid w:val="00EE4921"/>
    <w:pPr>
      <w:spacing w:after="0" w:line="240" w:lineRule="auto"/>
    </w:pPr>
    <w:rPr>
      <w:sz w:val="24"/>
      <w:szCs w:val="24"/>
    </w:rPr>
  </w:style>
  <w:style w:type="character" w:styleId="FollowedHyperlink">
    <w:name w:val="FollowedHyperlink"/>
    <w:basedOn w:val="DefaultParagraphFont"/>
    <w:uiPriority w:val="99"/>
    <w:semiHidden/>
    <w:unhideWhenUsed/>
    <w:rsid w:val="00F90E1B"/>
    <w:rPr>
      <w:color w:val="000000" w:themeColor="followedHyperlink"/>
      <w:u w:val="singl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024772">
      <w:bodyDiv w:val="1"/>
      <w:marLeft w:val="0"/>
      <w:marRight w:val="0"/>
      <w:marTop w:val="0"/>
      <w:marBottom w:val="0"/>
      <w:divBdr>
        <w:top w:val="none" w:sz="0" w:space="0" w:color="auto"/>
        <w:left w:val="none" w:sz="0" w:space="0" w:color="auto"/>
        <w:bottom w:val="none" w:sz="0" w:space="0" w:color="auto"/>
        <w:right w:val="none" w:sz="0" w:space="0" w:color="auto"/>
      </w:divBdr>
    </w:div>
    <w:div w:id="380712904">
      <w:bodyDiv w:val="1"/>
      <w:marLeft w:val="0"/>
      <w:marRight w:val="0"/>
      <w:marTop w:val="0"/>
      <w:marBottom w:val="0"/>
      <w:divBdr>
        <w:top w:val="none" w:sz="0" w:space="0" w:color="auto"/>
        <w:left w:val="none" w:sz="0" w:space="0" w:color="auto"/>
        <w:bottom w:val="none" w:sz="0" w:space="0" w:color="auto"/>
        <w:right w:val="none" w:sz="0" w:space="0" w:color="auto"/>
      </w:divBdr>
    </w:div>
    <w:div w:id="470904102">
      <w:bodyDiv w:val="1"/>
      <w:marLeft w:val="0"/>
      <w:marRight w:val="0"/>
      <w:marTop w:val="0"/>
      <w:marBottom w:val="0"/>
      <w:divBdr>
        <w:top w:val="none" w:sz="0" w:space="0" w:color="auto"/>
        <w:left w:val="none" w:sz="0" w:space="0" w:color="auto"/>
        <w:bottom w:val="none" w:sz="0" w:space="0" w:color="auto"/>
        <w:right w:val="none" w:sz="0" w:space="0" w:color="auto"/>
      </w:divBdr>
      <w:divsChild>
        <w:div w:id="1581255918">
          <w:marLeft w:val="0"/>
          <w:marRight w:val="0"/>
          <w:marTop w:val="0"/>
          <w:marBottom w:val="0"/>
          <w:divBdr>
            <w:top w:val="none" w:sz="0" w:space="0" w:color="auto"/>
            <w:left w:val="none" w:sz="0" w:space="0" w:color="auto"/>
            <w:bottom w:val="none" w:sz="0" w:space="0" w:color="auto"/>
            <w:right w:val="none" w:sz="0" w:space="0" w:color="auto"/>
          </w:divBdr>
        </w:div>
      </w:divsChild>
    </w:div>
    <w:div w:id="476454847">
      <w:bodyDiv w:val="1"/>
      <w:marLeft w:val="0"/>
      <w:marRight w:val="0"/>
      <w:marTop w:val="0"/>
      <w:marBottom w:val="0"/>
      <w:divBdr>
        <w:top w:val="none" w:sz="0" w:space="0" w:color="auto"/>
        <w:left w:val="none" w:sz="0" w:space="0" w:color="auto"/>
        <w:bottom w:val="none" w:sz="0" w:space="0" w:color="auto"/>
        <w:right w:val="none" w:sz="0" w:space="0" w:color="auto"/>
      </w:divBdr>
      <w:divsChild>
        <w:div w:id="1176922745">
          <w:marLeft w:val="0"/>
          <w:marRight w:val="0"/>
          <w:marTop w:val="0"/>
          <w:marBottom w:val="0"/>
          <w:divBdr>
            <w:top w:val="none" w:sz="0" w:space="0" w:color="auto"/>
            <w:left w:val="none" w:sz="0" w:space="0" w:color="auto"/>
            <w:bottom w:val="none" w:sz="0" w:space="0" w:color="auto"/>
            <w:right w:val="none" w:sz="0" w:space="0" w:color="auto"/>
          </w:divBdr>
          <w:divsChild>
            <w:div w:id="1001275972">
              <w:marLeft w:val="0"/>
              <w:marRight w:val="480"/>
              <w:marTop w:val="0"/>
              <w:marBottom w:val="270"/>
              <w:divBdr>
                <w:top w:val="none" w:sz="0" w:space="0" w:color="auto"/>
                <w:left w:val="none" w:sz="0" w:space="0" w:color="auto"/>
                <w:bottom w:val="none" w:sz="0" w:space="0" w:color="auto"/>
                <w:right w:val="none" w:sz="0" w:space="0" w:color="auto"/>
              </w:divBdr>
            </w:div>
          </w:divsChild>
        </w:div>
      </w:divsChild>
    </w:div>
    <w:div w:id="545337507">
      <w:bodyDiv w:val="1"/>
      <w:marLeft w:val="0"/>
      <w:marRight w:val="0"/>
      <w:marTop w:val="0"/>
      <w:marBottom w:val="0"/>
      <w:divBdr>
        <w:top w:val="none" w:sz="0" w:space="0" w:color="auto"/>
        <w:left w:val="none" w:sz="0" w:space="0" w:color="auto"/>
        <w:bottom w:val="none" w:sz="0" w:space="0" w:color="auto"/>
        <w:right w:val="none" w:sz="0" w:space="0" w:color="auto"/>
      </w:divBdr>
    </w:div>
    <w:div w:id="553200939">
      <w:bodyDiv w:val="1"/>
      <w:marLeft w:val="0"/>
      <w:marRight w:val="0"/>
      <w:marTop w:val="0"/>
      <w:marBottom w:val="0"/>
      <w:divBdr>
        <w:top w:val="none" w:sz="0" w:space="0" w:color="auto"/>
        <w:left w:val="none" w:sz="0" w:space="0" w:color="auto"/>
        <w:bottom w:val="none" w:sz="0" w:space="0" w:color="auto"/>
        <w:right w:val="none" w:sz="0" w:space="0" w:color="auto"/>
      </w:divBdr>
    </w:div>
    <w:div w:id="578637127">
      <w:bodyDiv w:val="1"/>
      <w:marLeft w:val="0"/>
      <w:marRight w:val="0"/>
      <w:marTop w:val="0"/>
      <w:marBottom w:val="0"/>
      <w:divBdr>
        <w:top w:val="none" w:sz="0" w:space="0" w:color="auto"/>
        <w:left w:val="none" w:sz="0" w:space="0" w:color="auto"/>
        <w:bottom w:val="none" w:sz="0" w:space="0" w:color="auto"/>
        <w:right w:val="none" w:sz="0" w:space="0" w:color="auto"/>
      </w:divBdr>
    </w:div>
    <w:div w:id="615873543">
      <w:bodyDiv w:val="1"/>
      <w:marLeft w:val="0"/>
      <w:marRight w:val="0"/>
      <w:marTop w:val="0"/>
      <w:marBottom w:val="0"/>
      <w:divBdr>
        <w:top w:val="none" w:sz="0" w:space="0" w:color="auto"/>
        <w:left w:val="none" w:sz="0" w:space="0" w:color="auto"/>
        <w:bottom w:val="none" w:sz="0" w:space="0" w:color="auto"/>
        <w:right w:val="none" w:sz="0" w:space="0" w:color="auto"/>
      </w:divBdr>
    </w:div>
    <w:div w:id="698160637">
      <w:bodyDiv w:val="1"/>
      <w:marLeft w:val="0"/>
      <w:marRight w:val="0"/>
      <w:marTop w:val="0"/>
      <w:marBottom w:val="0"/>
      <w:divBdr>
        <w:top w:val="none" w:sz="0" w:space="0" w:color="auto"/>
        <w:left w:val="none" w:sz="0" w:space="0" w:color="auto"/>
        <w:bottom w:val="none" w:sz="0" w:space="0" w:color="auto"/>
        <w:right w:val="none" w:sz="0" w:space="0" w:color="auto"/>
      </w:divBdr>
    </w:div>
    <w:div w:id="698748778">
      <w:bodyDiv w:val="1"/>
      <w:marLeft w:val="0"/>
      <w:marRight w:val="0"/>
      <w:marTop w:val="0"/>
      <w:marBottom w:val="0"/>
      <w:divBdr>
        <w:top w:val="none" w:sz="0" w:space="0" w:color="auto"/>
        <w:left w:val="none" w:sz="0" w:space="0" w:color="auto"/>
        <w:bottom w:val="none" w:sz="0" w:space="0" w:color="auto"/>
        <w:right w:val="none" w:sz="0" w:space="0" w:color="auto"/>
      </w:divBdr>
    </w:div>
    <w:div w:id="758259673">
      <w:bodyDiv w:val="1"/>
      <w:marLeft w:val="0"/>
      <w:marRight w:val="0"/>
      <w:marTop w:val="0"/>
      <w:marBottom w:val="0"/>
      <w:divBdr>
        <w:top w:val="none" w:sz="0" w:space="0" w:color="auto"/>
        <w:left w:val="none" w:sz="0" w:space="0" w:color="auto"/>
        <w:bottom w:val="none" w:sz="0" w:space="0" w:color="auto"/>
        <w:right w:val="none" w:sz="0" w:space="0" w:color="auto"/>
      </w:divBdr>
      <w:divsChild>
        <w:div w:id="1002660238">
          <w:marLeft w:val="0"/>
          <w:marRight w:val="0"/>
          <w:marTop w:val="0"/>
          <w:marBottom w:val="0"/>
          <w:divBdr>
            <w:top w:val="none" w:sz="0" w:space="0" w:color="auto"/>
            <w:left w:val="none" w:sz="0" w:space="0" w:color="auto"/>
            <w:bottom w:val="none" w:sz="0" w:space="0" w:color="auto"/>
            <w:right w:val="none" w:sz="0" w:space="0" w:color="auto"/>
          </w:divBdr>
          <w:divsChild>
            <w:div w:id="865867819">
              <w:marLeft w:val="0"/>
              <w:marRight w:val="0"/>
              <w:marTop w:val="0"/>
              <w:marBottom w:val="0"/>
              <w:divBdr>
                <w:top w:val="none" w:sz="0" w:space="0" w:color="auto"/>
                <w:left w:val="none" w:sz="0" w:space="0" w:color="auto"/>
                <w:bottom w:val="none" w:sz="0" w:space="0" w:color="auto"/>
                <w:right w:val="none" w:sz="0" w:space="0" w:color="auto"/>
              </w:divBdr>
              <w:divsChild>
                <w:div w:id="1883206545">
                  <w:marLeft w:val="0"/>
                  <w:marRight w:val="0"/>
                  <w:marTop w:val="0"/>
                  <w:marBottom w:val="0"/>
                  <w:divBdr>
                    <w:top w:val="none" w:sz="0" w:space="0" w:color="auto"/>
                    <w:left w:val="none" w:sz="0" w:space="0" w:color="auto"/>
                    <w:bottom w:val="none" w:sz="0" w:space="0" w:color="auto"/>
                    <w:right w:val="none" w:sz="0" w:space="0" w:color="auto"/>
                  </w:divBdr>
                  <w:divsChild>
                    <w:div w:id="474105213">
                      <w:marLeft w:val="0"/>
                      <w:marRight w:val="0"/>
                      <w:marTop w:val="0"/>
                      <w:marBottom w:val="0"/>
                      <w:divBdr>
                        <w:top w:val="none" w:sz="0" w:space="0" w:color="auto"/>
                        <w:left w:val="none" w:sz="0" w:space="0" w:color="auto"/>
                        <w:bottom w:val="none" w:sz="0" w:space="0" w:color="auto"/>
                        <w:right w:val="none" w:sz="0" w:space="0" w:color="auto"/>
                      </w:divBdr>
                      <w:divsChild>
                        <w:div w:id="75518852">
                          <w:marLeft w:val="0"/>
                          <w:marRight w:val="0"/>
                          <w:marTop w:val="0"/>
                          <w:marBottom w:val="0"/>
                          <w:divBdr>
                            <w:top w:val="none" w:sz="0" w:space="0" w:color="auto"/>
                            <w:left w:val="none" w:sz="0" w:space="0" w:color="auto"/>
                            <w:bottom w:val="none" w:sz="0" w:space="0" w:color="auto"/>
                            <w:right w:val="none" w:sz="0" w:space="0" w:color="auto"/>
                          </w:divBdr>
                          <w:divsChild>
                            <w:div w:id="184628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973454">
      <w:bodyDiv w:val="1"/>
      <w:marLeft w:val="0"/>
      <w:marRight w:val="0"/>
      <w:marTop w:val="0"/>
      <w:marBottom w:val="0"/>
      <w:divBdr>
        <w:top w:val="none" w:sz="0" w:space="0" w:color="auto"/>
        <w:left w:val="none" w:sz="0" w:space="0" w:color="auto"/>
        <w:bottom w:val="none" w:sz="0" w:space="0" w:color="auto"/>
        <w:right w:val="none" w:sz="0" w:space="0" w:color="auto"/>
      </w:divBdr>
    </w:div>
    <w:div w:id="813259590">
      <w:bodyDiv w:val="1"/>
      <w:marLeft w:val="0"/>
      <w:marRight w:val="0"/>
      <w:marTop w:val="0"/>
      <w:marBottom w:val="0"/>
      <w:divBdr>
        <w:top w:val="none" w:sz="0" w:space="0" w:color="auto"/>
        <w:left w:val="none" w:sz="0" w:space="0" w:color="auto"/>
        <w:bottom w:val="none" w:sz="0" w:space="0" w:color="auto"/>
        <w:right w:val="none" w:sz="0" w:space="0" w:color="auto"/>
      </w:divBdr>
    </w:div>
    <w:div w:id="837842293">
      <w:bodyDiv w:val="1"/>
      <w:marLeft w:val="0"/>
      <w:marRight w:val="0"/>
      <w:marTop w:val="0"/>
      <w:marBottom w:val="0"/>
      <w:divBdr>
        <w:top w:val="none" w:sz="0" w:space="0" w:color="auto"/>
        <w:left w:val="none" w:sz="0" w:space="0" w:color="auto"/>
        <w:bottom w:val="none" w:sz="0" w:space="0" w:color="auto"/>
        <w:right w:val="none" w:sz="0" w:space="0" w:color="auto"/>
      </w:divBdr>
    </w:div>
    <w:div w:id="953637575">
      <w:bodyDiv w:val="1"/>
      <w:marLeft w:val="0"/>
      <w:marRight w:val="0"/>
      <w:marTop w:val="0"/>
      <w:marBottom w:val="0"/>
      <w:divBdr>
        <w:top w:val="none" w:sz="0" w:space="0" w:color="auto"/>
        <w:left w:val="none" w:sz="0" w:space="0" w:color="auto"/>
        <w:bottom w:val="none" w:sz="0" w:space="0" w:color="auto"/>
        <w:right w:val="none" w:sz="0" w:space="0" w:color="auto"/>
      </w:divBdr>
    </w:div>
    <w:div w:id="979647848">
      <w:bodyDiv w:val="1"/>
      <w:marLeft w:val="0"/>
      <w:marRight w:val="0"/>
      <w:marTop w:val="0"/>
      <w:marBottom w:val="0"/>
      <w:divBdr>
        <w:top w:val="none" w:sz="0" w:space="0" w:color="auto"/>
        <w:left w:val="none" w:sz="0" w:space="0" w:color="auto"/>
        <w:bottom w:val="none" w:sz="0" w:space="0" w:color="auto"/>
        <w:right w:val="none" w:sz="0" w:space="0" w:color="auto"/>
      </w:divBdr>
    </w:div>
    <w:div w:id="988249533">
      <w:bodyDiv w:val="1"/>
      <w:marLeft w:val="0"/>
      <w:marRight w:val="0"/>
      <w:marTop w:val="0"/>
      <w:marBottom w:val="0"/>
      <w:divBdr>
        <w:top w:val="none" w:sz="0" w:space="0" w:color="auto"/>
        <w:left w:val="none" w:sz="0" w:space="0" w:color="auto"/>
        <w:bottom w:val="none" w:sz="0" w:space="0" w:color="auto"/>
        <w:right w:val="none" w:sz="0" w:space="0" w:color="auto"/>
      </w:divBdr>
    </w:div>
    <w:div w:id="1043019581">
      <w:bodyDiv w:val="1"/>
      <w:marLeft w:val="0"/>
      <w:marRight w:val="0"/>
      <w:marTop w:val="0"/>
      <w:marBottom w:val="0"/>
      <w:divBdr>
        <w:top w:val="none" w:sz="0" w:space="0" w:color="auto"/>
        <w:left w:val="none" w:sz="0" w:space="0" w:color="auto"/>
        <w:bottom w:val="none" w:sz="0" w:space="0" w:color="auto"/>
        <w:right w:val="none" w:sz="0" w:space="0" w:color="auto"/>
      </w:divBdr>
      <w:divsChild>
        <w:div w:id="843743215">
          <w:marLeft w:val="0"/>
          <w:marRight w:val="0"/>
          <w:marTop w:val="0"/>
          <w:marBottom w:val="0"/>
          <w:divBdr>
            <w:top w:val="none" w:sz="0" w:space="0" w:color="auto"/>
            <w:left w:val="none" w:sz="0" w:space="0" w:color="auto"/>
            <w:bottom w:val="none" w:sz="0" w:space="0" w:color="auto"/>
            <w:right w:val="none" w:sz="0" w:space="0" w:color="auto"/>
          </w:divBdr>
          <w:divsChild>
            <w:div w:id="5729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8857">
      <w:bodyDiv w:val="1"/>
      <w:marLeft w:val="0"/>
      <w:marRight w:val="0"/>
      <w:marTop w:val="0"/>
      <w:marBottom w:val="0"/>
      <w:divBdr>
        <w:top w:val="none" w:sz="0" w:space="0" w:color="auto"/>
        <w:left w:val="none" w:sz="0" w:space="0" w:color="auto"/>
        <w:bottom w:val="none" w:sz="0" w:space="0" w:color="auto"/>
        <w:right w:val="none" w:sz="0" w:space="0" w:color="auto"/>
      </w:divBdr>
    </w:div>
    <w:div w:id="1189828049">
      <w:bodyDiv w:val="1"/>
      <w:marLeft w:val="0"/>
      <w:marRight w:val="0"/>
      <w:marTop w:val="0"/>
      <w:marBottom w:val="0"/>
      <w:divBdr>
        <w:top w:val="none" w:sz="0" w:space="0" w:color="auto"/>
        <w:left w:val="none" w:sz="0" w:space="0" w:color="auto"/>
        <w:bottom w:val="none" w:sz="0" w:space="0" w:color="auto"/>
        <w:right w:val="none" w:sz="0" w:space="0" w:color="auto"/>
      </w:divBdr>
    </w:div>
    <w:div w:id="1223756647">
      <w:bodyDiv w:val="1"/>
      <w:marLeft w:val="0"/>
      <w:marRight w:val="0"/>
      <w:marTop w:val="0"/>
      <w:marBottom w:val="0"/>
      <w:divBdr>
        <w:top w:val="none" w:sz="0" w:space="0" w:color="auto"/>
        <w:left w:val="none" w:sz="0" w:space="0" w:color="auto"/>
        <w:bottom w:val="none" w:sz="0" w:space="0" w:color="auto"/>
        <w:right w:val="none" w:sz="0" w:space="0" w:color="auto"/>
      </w:divBdr>
    </w:div>
    <w:div w:id="1259870659">
      <w:bodyDiv w:val="1"/>
      <w:marLeft w:val="0"/>
      <w:marRight w:val="0"/>
      <w:marTop w:val="0"/>
      <w:marBottom w:val="0"/>
      <w:divBdr>
        <w:top w:val="none" w:sz="0" w:space="0" w:color="auto"/>
        <w:left w:val="none" w:sz="0" w:space="0" w:color="auto"/>
        <w:bottom w:val="none" w:sz="0" w:space="0" w:color="auto"/>
        <w:right w:val="none" w:sz="0" w:space="0" w:color="auto"/>
      </w:divBdr>
    </w:div>
    <w:div w:id="1292446334">
      <w:bodyDiv w:val="1"/>
      <w:marLeft w:val="0"/>
      <w:marRight w:val="0"/>
      <w:marTop w:val="0"/>
      <w:marBottom w:val="0"/>
      <w:divBdr>
        <w:top w:val="none" w:sz="0" w:space="0" w:color="auto"/>
        <w:left w:val="none" w:sz="0" w:space="0" w:color="auto"/>
        <w:bottom w:val="none" w:sz="0" w:space="0" w:color="auto"/>
        <w:right w:val="none" w:sz="0" w:space="0" w:color="auto"/>
      </w:divBdr>
    </w:div>
    <w:div w:id="1380128556">
      <w:bodyDiv w:val="1"/>
      <w:marLeft w:val="0"/>
      <w:marRight w:val="0"/>
      <w:marTop w:val="0"/>
      <w:marBottom w:val="0"/>
      <w:divBdr>
        <w:top w:val="none" w:sz="0" w:space="0" w:color="auto"/>
        <w:left w:val="none" w:sz="0" w:space="0" w:color="auto"/>
        <w:bottom w:val="none" w:sz="0" w:space="0" w:color="auto"/>
        <w:right w:val="none" w:sz="0" w:space="0" w:color="auto"/>
      </w:divBdr>
    </w:div>
    <w:div w:id="1392848252">
      <w:bodyDiv w:val="1"/>
      <w:marLeft w:val="0"/>
      <w:marRight w:val="0"/>
      <w:marTop w:val="0"/>
      <w:marBottom w:val="0"/>
      <w:divBdr>
        <w:top w:val="none" w:sz="0" w:space="0" w:color="auto"/>
        <w:left w:val="none" w:sz="0" w:space="0" w:color="auto"/>
        <w:bottom w:val="none" w:sz="0" w:space="0" w:color="auto"/>
        <w:right w:val="none" w:sz="0" w:space="0" w:color="auto"/>
      </w:divBdr>
    </w:div>
    <w:div w:id="1464889581">
      <w:bodyDiv w:val="1"/>
      <w:marLeft w:val="0"/>
      <w:marRight w:val="0"/>
      <w:marTop w:val="0"/>
      <w:marBottom w:val="0"/>
      <w:divBdr>
        <w:top w:val="none" w:sz="0" w:space="0" w:color="auto"/>
        <w:left w:val="none" w:sz="0" w:space="0" w:color="auto"/>
        <w:bottom w:val="none" w:sz="0" w:space="0" w:color="auto"/>
        <w:right w:val="none" w:sz="0" w:space="0" w:color="auto"/>
      </w:divBdr>
    </w:div>
    <w:div w:id="1481845088">
      <w:bodyDiv w:val="1"/>
      <w:marLeft w:val="0"/>
      <w:marRight w:val="0"/>
      <w:marTop w:val="0"/>
      <w:marBottom w:val="0"/>
      <w:divBdr>
        <w:top w:val="none" w:sz="0" w:space="0" w:color="auto"/>
        <w:left w:val="none" w:sz="0" w:space="0" w:color="auto"/>
        <w:bottom w:val="none" w:sz="0" w:space="0" w:color="auto"/>
        <w:right w:val="none" w:sz="0" w:space="0" w:color="auto"/>
      </w:divBdr>
    </w:div>
    <w:div w:id="1725909680">
      <w:bodyDiv w:val="1"/>
      <w:marLeft w:val="0"/>
      <w:marRight w:val="0"/>
      <w:marTop w:val="0"/>
      <w:marBottom w:val="0"/>
      <w:divBdr>
        <w:top w:val="none" w:sz="0" w:space="0" w:color="auto"/>
        <w:left w:val="none" w:sz="0" w:space="0" w:color="auto"/>
        <w:bottom w:val="none" w:sz="0" w:space="0" w:color="auto"/>
        <w:right w:val="none" w:sz="0" w:space="0" w:color="auto"/>
      </w:divBdr>
    </w:div>
    <w:div w:id="1764914708">
      <w:bodyDiv w:val="1"/>
      <w:marLeft w:val="0"/>
      <w:marRight w:val="0"/>
      <w:marTop w:val="0"/>
      <w:marBottom w:val="0"/>
      <w:divBdr>
        <w:top w:val="none" w:sz="0" w:space="0" w:color="auto"/>
        <w:left w:val="none" w:sz="0" w:space="0" w:color="auto"/>
        <w:bottom w:val="none" w:sz="0" w:space="0" w:color="auto"/>
        <w:right w:val="none" w:sz="0" w:space="0" w:color="auto"/>
      </w:divBdr>
    </w:div>
    <w:div w:id="1895459060">
      <w:bodyDiv w:val="1"/>
      <w:marLeft w:val="0"/>
      <w:marRight w:val="0"/>
      <w:marTop w:val="0"/>
      <w:marBottom w:val="0"/>
      <w:divBdr>
        <w:top w:val="none" w:sz="0" w:space="0" w:color="auto"/>
        <w:left w:val="none" w:sz="0" w:space="0" w:color="auto"/>
        <w:bottom w:val="none" w:sz="0" w:space="0" w:color="auto"/>
        <w:right w:val="none" w:sz="0" w:space="0" w:color="auto"/>
      </w:divBdr>
      <w:divsChild>
        <w:div w:id="399595124">
          <w:marLeft w:val="0"/>
          <w:marRight w:val="0"/>
          <w:marTop w:val="0"/>
          <w:marBottom w:val="0"/>
          <w:divBdr>
            <w:top w:val="none" w:sz="0" w:space="0" w:color="auto"/>
            <w:left w:val="none" w:sz="0" w:space="0" w:color="auto"/>
            <w:bottom w:val="none" w:sz="0" w:space="0" w:color="auto"/>
            <w:right w:val="none" w:sz="0" w:space="0" w:color="auto"/>
          </w:divBdr>
        </w:div>
      </w:divsChild>
    </w:div>
    <w:div w:id="1977450438">
      <w:bodyDiv w:val="1"/>
      <w:marLeft w:val="0"/>
      <w:marRight w:val="0"/>
      <w:marTop w:val="0"/>
      <w:marBottom w:val="0"/>
      <w:divBdr>
        <w:top w:val="none" w:sz="0" w:space="0" w:color="auto"/>
        <w:left w:val="none" w:sz="0" w:space="0" w:color="auto"/>
        <w:bottom w:val="none" w:sz="0" w:space="0" w:color="auto"/>
        <w:right w:val="none" w:sz="0" w:space="0" w:color="auto"/>
      </w:divBdr>
    </w:div>
    <w:div w:id="1982533316">
      <w:bodyDiv w:val="1"/>
      <w:marLeft w:val="0"/>
      <w:marRight w:val="0"/>
      <w:marTop w:val="0"/>
      <w:marBottom w:val="0"/>
      <w:divBdr>
        <w:top w:val="none" w:sz="0" w:space="0" w:color="auto"/>
        <w:left w:val="none" w:sz="0" w:space="0" w:color="auto"/>
        <w:bottom w:val="none" w:sz="0" w:space="0" w:color="auto"/>
        <w:right w:val="none" w:sz="0" w:space="0" w:color="auto"/>
      </w:divBdr>
    </w:div>
    <w:div w:id="2007005180">
      <w:bodyDiv w:val="1"/>
      <w:marLeft w:val="0"/>
      <w:marRight w:val="0"/>
      <w:marTop w:val="0"/>
      <w:marBottom w:val="0"/>
      <w:divBdr>
        <w:top w:val="none" w:sz="0" w:space="0" w:color="auto"/>
        <w:left w:val="none" w:sz="0" w:space="0" w:color="auto"/>
        <w:bottom w:val="none" w:sz="0" w:space="0" w:color="auto"/>
        <w:right w:val="none" w:sz="0" w:space="0" w:color="auto"/>
      </w:divBdr>
      <w:divsChild>
        <w:div w:id="207423405">
          <w:marLeft w:val="0"/>
          <w:marRight w:val="0"/>
          <w:marTop w:val="0"/>
          <w:marBottom w:val="0"/>
          <w:divBdr>
            <w:top w:val="none" w:sz="0" w:space="0" w:color="auto"/>
            <w:left w:val="none" w:sz="0" w:space="0" w:color="auto"/>
            <w:bottom w:val="none" w:sz="0" w:space="0" w:color="auto"/>
            <w:right w:val="none" w:sz="0" w:space="0" w:color="auto"/>
          </w:divBdr>
          <w:divsChild>
            <w:div w:id="40634762">
              <w:marLeft w:val="0"/>
              <w:marRight w:val="0"/>
              <w:marTop w:val="0"/>
              <w:marBottom w:val="0"/>
              <w:divBdr>
                <w:top w:val="none" w:sz="0" w:space="0" w:color="auto"/>
                <w:left w:val="none" w:sz="0" w:space="0" w:color="auto"/>
                <w:bottom w:val="none" w:sz="0" w:space="0" w:color="auto"/>
                <w:right w:val="none" w:sz="0" w:space="0" w:color="auto"/>
              </w:divBdr>
              <w:divsChild>
                <w:div w:id="551381580">
                  <w:marLeft w:val="0"/>
                  <w:marRight w:val="0"/>
                  <w:marTop w:val="0"/>
                  <w:marBottom w:val="0"/>
                  <w:divBdr>
                    <w:top w:val="none" w:sz="0" w:space="0" w:color="auto"/>
                    <w:left w:val="none" w:sz="0" w:space="0" w:color="auto"/>
                    <w:bottom w:val="none" w:sz="0" w:space="0" w:color="auto"/>
                    <w:right w:val="none" w:sz="0" w:space="0" w:color="auto"/>
                  </w:divBdr>
                  <w:divsChild>
                    <w:div w:id="1696730113">
                      <w:marLeft w:val="0"/>
                      <w:marRight w:val="0"/>
                      <w:marTop w:val="0"/>
                      <w:marBottom w:val="0"/>
                      <w:divBdr>
                        <w:top w:val="none" w:sz="0" w:space="0" w:color="auto"/>
                        <w:left w:val="none" w:sz="0" w:space="0" w:color="auto"/>
                        <w:bottom w:val="none" w:sz="0" w:space="0" w:color="auto"/>
                        <w:right w:val="none" w:sz="0" w:space="0" w:color="auto"/>
                      </w:divBdr>
                      <w:divsChild>
                        <w:div w:id="61411265">
                          <w:marLeft w:val="-300"/>
                          <w:marRight w:val="-300"/>
                          <w:marTop w:val="0"/>
                          <w:marBottom w:val="0"/>
                          <w:divBdr>
                            <w:top w:val="none" w:sz="0" w:space="0" w:color="auto"/>
                            <w:left w:val="none" w:sz="0" w:space="0" w:color="auto"/>
                            <w:bottom w:val="none" w:sz="0" w:space="0" w:color="auto"/>
                            <w:right w:val="none" w:sz="0" w:space="0" w:color="auto"/>
                          </w:divBdr>
                          <w:divsChild>
                            <w:div w:id="2013414802">
                              <w:marLeft w:val="0"/>
                              <w:marRight w:val="0"/>
                              <w:marTop w:val="0"/>
                              <w:marBottom w:val="0"/>
                              <w:divBdr>
                                <w:top w:val="none" w:sz="0" w:space="0" w:color="auto"/>
                                <w:left w:val="none" w:sz="0" w:space="0" w:color="auto"/>
                                <w:bottom w:val="none" w:sz="0" w:space="0" w:color="auto"/>
                                <w:right w:val="none" w:sz="0" w:space="0" w:color="auto"/>
                              </w:divBdr>
                              <w:divsChild>
                                <w:div w:id="158826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46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sabatovych@bradford.ac.uk" TargetMode="External"/><Relationship Id="rId18" Type="http://schemas.openxmlformats.org/officeDocument/2006/relationships/hyperlink" Target="https://unibradfordac.sharepoint.com/:b:/r/sites/planning-intranet/Shared%20Documents/Strategy%20documents/EDI%20Strategy%202020-2025%20Rev.pdf?csf=1&amp;web=1&amp;e=mxYOR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CDRsecretariat@universitiesuk.ac.uk" TargetMode="External"/><Relationship Id="rId7" Type="http://schemas.openxmlformats.org/officeDocument/2006/relationships/settings" Target="settings.xml"/><Relationship Id="rId12" Type="http://schemas.openxmlformats.org/officeDocument/2006/relationships/hyperlink" Target="https://www.bradford.ac.uk/research/support/concordat/" TargetMode="External"/><Relationship Id="rId17" Type="http://schemas.openxmlformats.org/officeDocument/2006/relationships/hyperlink" Target="https://unibradfordac.sharepoint.com/:b:/r/sites/planning-intranet/Shared%20Documents/Strategy%20documents/SEN054-1920-RI%20Strategy_v1.pdf?csf=1&amp;web=1&amp;e=J6724H"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nibradfordac.sharepoint.com/:b:/r/sites/planning-intranet/Shared%20Documents/Strategy%20documents/COU089a-19-20-LTSE-app-a.pdf?csf=1&amp;web=1&amp;e=YrYiLl" TargetMode="External"/><Relationship Id="rId20" Type="http://schemas.openxmlformats.org/officeDocument/2006/relationships/hyperlink" Target="https://unibradfordac.sharepoint.com/:b:/r/sites/planning-intranet/Shared%20Documents/Strategy%20documents/People%20Strategy%202025%20v0.7%20Final.pdf?csf=1&amp;web=1&amp;e=tTrJA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adford.ac.uk/research/support/concordat/"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unibradfordac.sharepoint.com/:b:/r/sites/planning-intranet/Shared%20Documents/Strategy%20documents/COU088a-19-20-strategy-update-app-a.pdf?csf=1&amp;web=1&amp;e=jHGeS0"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unibradfordac.sharepoint.com/:b:/r/sites/planning-intranet/Shared%20Documents/Strategy%20documents/COU091a-19-20-BCE-Strategy-App-A.pdf?csf=1&amp;web=1&amp;e=dkurA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DRsecretariat@universitiesuk.ac.uk" TargetMode="External"/><Relationship Id="rId22" Type="http://schemas.openxmlformats.org/officeDocument/2006/relationships/hyperlink" Target="http://www.researcherdevelopmentconcordat.ac.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UK">
      <a:dk1>
        <a:sysClr val="windowText" lastClr="000000"/>
      </a:dk1>
      <a:lt1>
        <a:sysClr val="window" lastClr="FFFFFF"/>
      </a:lt1>
      <a:dk2>
        <a:srgbClr val="1D70EB"/>
      </a:dk2>
      <a:lt2>
        <a:srgbClr val="F2F2F2"/>
      </a:lt2>
      <a:accent1>
        <a:srgbClr val="CCE1FF"/>
      </a:accent1>
      <a:accent2>
        <a:srgbClr val="C80645"/>
      </a:accent2>
      <a:accent3>
        <a:srgbClr val="FFED5D"/>
      </a:accent3>
      <a:accent4>
        <a:srgbClr val="02866D"/>
      </a:accent4>
      <a:accent5>
        <a:srgbClr val="FCA83D"/>
      </a:accent5>
      <a:accent6>
        <a:srgbClr val="612CB5"/>
      </a:accent6>
      <a:hlink>
        <a:srgbClr val="000000"/>
      </a:hlink>
      <a:folHlink>
        <a:srgbClr val="000000"/>
      </a:folHlink>
    </a:clrScheme>
    <a:fontScheme name="UUK">
      <a:majorFont>
        <a:latin typeface="Times New Roman"/>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{0A2661B0-397E-4039-9D1B-D2DD60D38CDB}</b:Guid>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C2A7BA71FD86EF4986FA9AB4EA10619E" ma:contentTypeVersion="7" ma:contentTypeDescription="Create a new document." ma:contentTypeScope="" ma:versionID="517a1d54a4a5ae630a8e8b284733980c">
  <xsd:schema xmlns:xsd="http://www.w3.org/2001/XMLSchema" xmlns:xs="http://www.w3.org/2001/XMLSchema" xmlns:p="http://schemas.microsoft.com/office/2006/metadata/properties" xmlns:ns2="64025ca6-d6f7-42d3-a003-260d3be67ad1" xmlns:ns3="a18a03a8-be28-44db-b123-ffab5ab0045b" targetNamespace="http://schemas.microsoft.com/office/2006/metadata/properties" ma:root="true" ma:fieldsID="9d1d6fb5a02a9951fc5925f9b8feb7d1" ns2:_="" ns3:_="">
    <xsd:import namespace="64025ca6-d6f7-42d3-a003-260d3be67ad1"/>
    <xsd:import namespace="a18a03a8-be28-44db-b123-ffab5ab004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25ca6-d6f7-42d3-a003-260d3be67a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8a03a8-be28-44db-b123-ffab5ab004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E1CB3D-8CB4-47AB-9947-596D1BF7C68F}">
  <ds:schemaRefs>
    <ds:schemaRef ds:uri="http://schemas.microsoft.com/sharepoint/v3/contenttype/forms"/>
  </ds:schemaRefs>
</ds:datastoreItem>
</file>

<file path=customXml/itemProps2.xml><?xml version="1.0" encoding="utf-8"?>
<ds:datastoreItem xmlns:ds="http://schemas.openxmlformats.org/officeDocument/2006/customXml" ds:itemID="{F994999F-6FBF-4230-B043-53D6EB22C7DF}">
  <ds:schemaRefs>
    <ds:schemaRef ds:uri="http://schemas.openxmlformats.org/officeDocument/2006/bibliography"/>
  </ds:schemaRefs>
</ds:datastoreItem>
</file>

<file path=customXml/itemProps3.xml><?xml version="1.0" encoding="utf-8"?>
<ds:datastoreItem xmlns:ds="http://schemas.openxmlformats.org/officeDocument/2006/customXml" ds:itemID="{83AA4645-D1BB-4BAF-91E5-CB1199F75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025ca6-d6f7-42d3-a003-260d3be67ad1"/>
    <ds:schemaRef ds:uri="a18a03a8-be28-44db-b123-ffab5ab004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417A48-62E0-4E84-B67D-007FBE1431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14</Pages>
  <Words>4593</Words>
  <Characters>26183</Characters>
  <Application>Microsoft Office Word</Application>
  <DocSecurity>0</DocSecurity>
  <Lines>218</Lines>
  <Paragraphs>61</Paragraphs>
  <ScaleCrop>false</ScaleCrop>
  <Company/>
  <LinksUpToDate>false</LinksUpToDate>
  <CharactersWithSpaces>30715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Gamble</dc:creator>
  <cp:keywords/>
  <dc:description/>
  <cp:lastModifiedBy>Steven Tillotson</cp:lastModifiedBy>
  <cp:revision>291</cp:revision>
  <cp:lastPrinted>2022-10-19T10:36:00Z</cp:lastPrinted>
  <dcterms:created xsi:type="dcterms:W3CDTF">2023-11-10T12:30:00Z</dcterms:created>
  <dcterms:modified xsi:type="dcterms:W3CDTF">2024-03-12T09:56:00Z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0x010100C2A7BA71FD86EF4986FA9AB4EA10619E</vt:lpwstr>
  </property>
</Properties>
</file>